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customXml/itemProps3.xml" ContentType="application/vnd.openxmlformats-officedocument.customXmlProperties+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68" w:rsidRPr="00CB5AEA" w:rsidRDefault="003E0B68" w:rsidP="00E15710">
      <w:pPr>
        <w:pStyle w:val="Title"/>
        <w:rPr>
          <w:rFonts w:ascii="Arial" w:hAnsi="Arial" w:cs="Arial"/>
        </w:rPr>
      </w:pPr>
      <w:r w:rsidRPr="00CB5AEA">
        <w:rPr>
          <w:rFonts w:ascii="Arial" w:hAnsi="Arial" w:cs="Arial"/>
        </w:rPr>
        <w:t>Summary of Changes to</w:t>
      </w:r>
    </w:p>
    <w:p w:rsidR="003E0B68" w:rsidRPr="00CB5AEA" w:rsidRDefault="003E0B68" w:rsidP="00E15710">
      <w:pPr>
        <w:tabs>
          <w:tab w:val="left" w:pos="4230"/>
        </w:tabs>
        <w:jc w:val="center"/>
        <w:rPr>
          <w:rFonts w:ascii="Arial" w:hAnsi="Arial" w:cs="Arial"/>
          <w:b/>
          <w:sz w:val="48"/>
        </w:rPr>
      </w:pPr>
    </w:p>
    <w:p w:rsidR="00D61B6A" w:rsidRPr="00CB5AEA" w:rsidRDefault="00D61B6A" w:rsidP="00E15710">
      <w:pPr>
        <w:tabs>
          <w:tab w:val="left" w:pos="4230"/>
        </w:tabs>
        <w:jc w:val="center"/>
        <w:rPr>
          <w:rFonts w:ascii="Arial" w:hAnsi="Arial" w:cs="Arial"/>
          <w:b/>
          <w:sz w:val="48"/>
        </w:rPr>
      </w:pPr>
      <w:r w:rsidRPr="00CB5AEA">
        <w:rPr>
          <w:rFonts w:ascii="Arial" w:hAnsi="Arial" w:cs="Arial"/>
          <w:b/>
          <w:sz w:val="48"/>
        </w:rPr>
        <w:t>MedDRA</w:t>
      </w:r>
      <w:r w:rsidRPr="00CB5AEA">
        <w:rPr>
          <w:rFonts w:ascii="Arial" w:hAnsi="Arial" w:cs="Arial"/>
          <w:b/>
          <w:sz w:val="48"/>
          <w:vertAlign w:val="superscript"/>
        </w:rPr>
        <w:t>®</w:t>
      </w:r>
      <w:r w:rsidRPr="00CB5AEA">
        <w:rPr>
          <w:rFonts w:ascii="Arial" w:hAnsi="Arial" w:cs="Arial"/>
          <w:b/>
          <w:sz w:val="48"/>
        </w:rPr>
        <w:t xml:space="preserve"> DATA RETRIEVAL </w:t>
      </w:r>
    </w:p>
    <w:p w:rsidR="003E0B68" w:rsidRPr="00CB5AEA" w:rsidRDefault="00D61B6A" w:rsidP="00E15710">
      <w:pPr>
        <w:tabs>
          <w:tab w:val="left" w:pos="4230"/>
        </w:tabs>
        <w:jc w:val="center"/>
        <w:rPr>
          <w:rFonts w:ascii="Arial" w:hAnsi="Arial" w:cs="Arial"/>
          <w:b/>
          <w:sz w:val="48"/>
        </w:rPr>
      </w:pPr>
      <w:r w:rsidRPr="00CB5AEA">
        <w:rPr>
          <w:rFonts w:ascii="Arial" w:hAnsi="Arial" w:cs="Arial"/>
          <w:b/>
          <w:sz w:val="48"/>
        </w:rPr>
        <w:t>AND</w:t>
      </w:r>
      <w:r w:rsidR="00A14DA6" w:rsidRPr="00CB5AEA">
        <w:rPr>
          <w:rFonts w:ascii="Arial" w:hAnsi="Arial" w:cs="Arial"/>
          <w:b/>
          <w:sz w:val="48"/>
        </w:rPr>
        <w:t xml:space="preserve"> PRESENTATION</w:t>
      </w:r>
      <w:r w:rsidR="003E0B68" w:rsidRPr="00CB5AEA">
        <w:rPr>
          <w:rFonts w:ascii="Arial" w:hAnsi="Arial" w:cs="Arial"/>
          <w:b/>
          <w:sz w:val="48"/>
        </w:rPr>
        <w:t xml:space="preserve">: </w:t>
      </w:r>
      <w:r w:rsidR="003E0B68" w:rsidRPr="00CB5AEA">
        <w:rPr>
          <w:rFonts w:ascii="Arial" w:hAnsi="Arial" w:cs="Arial"/>
          <w:b/>
          <w:sz w:val="48"/>
        </w:rPr>
        <w:br/>
        <w:t>POINTS TO CONSIDER</w:t>
      </w:r>
    </w:p>
    <w:p w:rsidR="003E0B68" w:rsidRPr="00CB5AEA" w:rsidRDefault="003E0B68" w:rsidP="00E15710">
      <w:pPr>
        <w:tabs>
          <w:tab w:val="left" w:pos="4230"/>
        </w:tabs>
        <w:jc w:val="center"/>
        <w:rPr>
          <w:rFonts w:ascii="Arial" w:hAnsi="Arial" w:cs="Arial"/>
          <w:b/>
          <w:sz w:val="48"/>
        </w:rPr>
      </w:pPr>
    </w:p>
    <w:p w:rsidR="00CB5AEA" w:rsidRPr="00CB5AEA" w:rsidRDefault="00CB5AEA" w:rsidP="00E15710">
      <w:pPr>
        <w:tabs>
          <w:tab w:val="left" w:pos="4230"/>
        </w:tabs>
        <w:jc w:val="center"/>
        <w:rPr>
          <w:rFonts w:ascii="Arial" w:hAnsi="Arial" w:cs="Arial"/>
          <w:b/>
          <w:sz w:val="36"/>
        </w:rPr>
      </w:pPr>
      <w:r w:rsidRPr="00CB5AEA">
        <w:rPr>
          <w:rFonts w:ascii="Arial" w:hAnsi="Arial" w:cs="Arial"/>
          <w:b/>
          <w:sz w:val="36"/>
        </w:rPr>
        <w:t xml:space="preserve">ICH-Endorsed Guide for MedDRA Users on </w:t>
      </w:r>
    </w:p>
    <w:p w:rsidR="00CB5AEA" w:rsidRPr="00CB5AEA" w:rsidRDefault="00CB5AEA" w:rsidP="00E15710">
      <w:pPr>
        <w:tabs>
          <w:tab w:val="left" w:pos="4230"/>
        </w:tabs>
        <w:jc w:val="center"/>
        <w:rPr>
          <w:rFonts w:ascii="Arial" w:hAnsi="Arial" w:cs="Arial"/>
          <w:b/>
          <w:sz w:val="36"/>
        </w:rPr>
      </w:pPr>
      <w:r w:rsidRPr="00CB5AEA">
        <w:rPr>
          <w:rFonts w:ascii="Arial" w:hAnsi="Arial" w:cs="Arial"/>
          <w:b/>
          <w:sz w:val="36"/>
        </w:rPr>
        <w:t>Data Output</w:t>
      </w:r>
    </w:p>
    <w:p w:rsidR="00CB5AEA" w:rsidRDefault="00CB5AEA" w:rsidP="00E15710">
      <w:pPr>
        <w:tabs>
          <w:tab w:val="left" w:pos="4230"/>
        </w:tabs>
        <w:jc w:val="center"/>
        <w:rPr>
          <w:rFonts w:ascii="Arial" w:hAnsi="Arial" w:cs="Arial"/>
          <w:b/>
          <w:i/>
          <w:sz w:val="36"/>
        </w:rPr>
      </w:pPr>
    </w:p>
    <w:p w:rsidR="00CB5AEA" w:rsidRDefault="00CB5AEA" w:rsidP="00E15710">
      <w:pPr>
        <w:tabs>
          <w:tab w:val="left" w:pos="4230"/>
        </w:tabs>
        <w:jc w:val="center"/>
        <w:rPr>
          <w:rFonts w:ascii="Arial" w:hAnsi="Arial" w:cs="Arial"/>
          <w:b/>
          <w:i/>
          <w:sz w:val="36"/>
        </w:rPr>
      </w:pPr>
    </w:p>
    <w:p w:rsidR="003E0B68" w:rsidRPr="00CB5AEA" w:rsidRDefault="00391368" w:rsidP="00E15710">
      <w:pPr>
        <w:pBdr>
          <w:top w:val="single" w:sz="4" w:space="1" w:color="auto"/>
          <w:left w:val="single" w:sz="4" w:space="4" w:color="auto"/>
          <w:bottom w:val="single" w:sz="4" w:space="1" w:color="auto"/>
          <w:right w:val="single" w:sz="4" w:space="4" w:color="auto"/>
        </w:pBdr>
        <w:tabs>
          <w:tab w:val="left" w:pos="4230"/>
        </w:tabs>
        <w:jc w:val="center"/>
        <w:rPr>
          <w:rFonts w:ascii="Arial" w:hAnsi="Arial" w:cs="Arial"/>
          <w:b/>
          <w:i/>
          <w:sz w:val="36"/>
        </w:rPr>
      </w:pPr>
      <w:r w:rsidRPr="00CB5AEA">
        <w:rPr>
          <w:rFonts w:ascii="Arial" w:hAnsi="Arial" w:cs="Arial"/>
          <w:b/>
          <w:i/>
          <w:sz w:val="36"/>
        </w:rPr>
        <w:t xml:space="preserve">Release </w:t>
      </w:r>
      <w:r w:rsidR="00CB5AEA">
        <w:rPr>
          <w:rFonts w:ascii="Arial" w:hAnsi="Arial" w:cs="Arial"/>
          <w:b/>
          <w:i/>
          <w:sz w:val="36"/>
        </w:rPr>
        <w:t>3</w:t>
      </w:r>
      <w:r w:rsidRPr="00CB5AEA">
        <w:rPr>
          <w:rFonts w:ascii="Arial" w:hAnsi="Arial" w:cs="Arial"/>
          <w:b/>
          <w:i/>
          <w:sz w:val="36"/>
        </w:rPr>
        <w:t>.</w:t>
      </w:r>
      <w:r w:rsidR="00535232">
        <w:rPr>
          <w:rFonts w:ascii="Arial" w:hAnsi="Arial" w:cs="Arial"/>
          <w:b/>
          <w:i/>
          <w:sz w:val="36"/>
        </w:rPr>
        <w:t>8</w:t>
      </w:r>
    </w:p>
    <w:p w:rsidR="003E0B68" w:rsidRPr="00CB5AEA" w:rsidRDefault="00391368" w:rsidP="008B0A58">
      <w:pPr>
        <w:pBdr>
          <w:top w:val="single" w:sz="4" w:space="1" w:color="auto"/>
          <w:left w:val="single" w:sz="4" w:space="4" w:color="auto"/>
          <w:bottom w:val="single" w:sz="4" w:space="1" w:color="auto"/>
          <w:right w:val="single" w:sz="4" w:space="4" w:color="auto"/>
        </w:pBdr>
        <w:tabs>
          <w:tab w:val="left" w:pos="4230"/>
        </w:tabs>
        <w:jc w:val="center"/>
        <w:rPr>
          <w:rFonts w:ascii="Arial" w:hAnsi="Arial" w:cs="Arial"/>
          <w:b/>
          <w:sz w:val="48"/>
        </w:rPr>
      </w:pPr>
      <w:r w:rsidRPr="00CB5AEA">
        <w:rPr>
          <w:rFonts w:ascii="Arial" w:hAnsi="Arial" w:cs="Arial"/>
          <w:b/>
          <w:i/>
          <w:sz w:val="36"/>
        </w:rPr>
        <w:t xml:space="preserve">Based on MedDRA Version </w:t>
      </w:r>
      <w:r w:rsidR="00F17E6A" w:rsidRPr="00CB5AEA">
        <w:rPr>
          <w:rFonts w:ascii="Arial" w:hAnsi="Arial" w:cs="Arial"/>
          <w:b/>
          <w:i/>
          <w:sz w:val="36"/>
        </w:rPr>
        <w:t>1</w:t>
      </w:r>
      <w:r w:rsidR="004872F0">
        <w:rPr>
          <w:rFonts w:ascii="Arial" w:hAnsi="Arial" w:cs="Arial"/>
          <w:b/>
          <w:i/>
          <w:sz w:val="36"/>
        </w:rPr>
        <w:t>7.</w:t>
      </w:r>
      <w:r w:rsidR="00535232">
        <w:rPr>
          <w:rFonts w:ascii="Arial" w:hAnsi="Arial" w:cs="Arial"/>
          <w:b/>
          <w:i/>
          <w:sz w:val="36"/>
        </w:rPr>
        <w:t>1</w:t>
      </w:r>
      <w:r w:rsidR="003E0B68" w:rsidRPr="00CB5AEA">
        <w:rPr>
          <w:rFonts w:ascii="Arial" w:hAnsi="Arial" w:cs="Arial"/>
          <w:b/>
          <w:sz w:val="48"/>
        </w:rPr>
        <w:tab/>
      </w:r>
      <w:r w:rsidR="003E0B68" w:rsidRPr="00CB5AEA">
        <w:rPr>
          <w:rFonts w:ascii="Arial" w:hAnsi="Arial" w:cs="Arial"/>
          <w:b/>
          <w:sz w:val="48"/>
        </w:rPr>
        <w:tab/>
      </w:r>
    </w:p>
    <w:p w:rsidR="003E0B68" w:rsidRPr="00CB5AEA" w:rsidRDefault="003E0B68" w:rsidP="00E15710">
      <w:pPr>
        <w:tabs>
          <w:tab w:val="left" w:pos="4230"/>
        </w:tabs>
        <w:jc w:val="center"/>
        <w:rPr>
          <w:rFonts w:ascii="Arial" w:hAnsi="Arial" w:cs="Arial"/>
          <w:b/>
          <w:sz w:val="36"/>
        </w:rPr>
      </w:pPr>
    </w:p>
    <w:p w:rsidR="003E0B68" w:rsidRPr="00CB5AEA" w:rsidRDefault="003E0B68" w:rsidP="00E15710">
      <w:pPr>
        <w:tabs>
          <w:tab w:val="left" w:pos="4230"/>
        </w:tabs>
        <w:jc w:val="center"/>
        <w:rPr>
          <w:rFonts w:ascii="Arial" w:hAnsi="Arial" w:cs="Arial"/>
          <w:b/>
          <w:strike/>
          <w:sz w:val="36"/>
        </w:rPr>
      </w:pPr>
    </w:p>
    <w:p w:rsidR="003E0B68" w:rsidRPr="00CB5AEA" w:rsidRDefault="00B43E90" w:rsidP="00E15710">
      <w:pPr>
        <w:tabs>
          <w:tab w:val="left" w:pos="4230"/>
        </w:tabs>
        <w:jc w:val="center"/>
        <w:rPr>
          <w:rFonts w:ascii="Arial" w:hAnsi="Arial" w:cs="Arial"/>
          <w:b/>
          <w:sz w:val="32"/>
        </w:rPr>
      </w:pPr>
      <w:r w:rsidRPr="00CB5AEA">
        <w:rPr>
          <w:rFonts w:ascii="Arial" w:hAnsi="Arial" w:cs="Arial"/>
          <w:b/>
          <w:sz w:val="32"/>
        </w:rPr>
        <w:t xml:space="preserve">1 </w:t>
      </w:r>
      <w:r w:rsidR="00535232">
        <w:rPr>
          <w:rFonts w:ascii="Arial" w:hAnsi="Arial" w:cs="Arial"/>
          <w:b/>
          <w:sz w:val="32"/>
        </w:rPr>
        <w:t>September</w:t>
      </w:r>
      <w:r w:rsidR="00CA0561" w:rsidRPr="00CB5AEA">
        <w:rPr>
          <w:rFonts w:ascii="Arial" w:hAnsi="Arial" w:cs="Arial"/>
          <w:b/>
          <w:sz w:val="32"/>
        </w:rPr>
        <w:t xml:space="preserve"> 20</w:t>
      </w:r>
      <w:r w:rsidR="008B0A58">
        <w:rPr>
          <w:rFonts w:ascii="Arial" w:hAnsi="Arial" w:cs="Arial"/>
          <w:b/>
          <w:sz w:val="32"/>
        </w:rPr>
        <w:t>1</w:t>
      </w:r>
      <w:r w:rsidR="004872F0">
        <w:rPr>
          <w:rFonts w:ascii="Arial" w:hAnsi="Arial" w:cs="Arial"/>
          <w:b/>
          <w:sz w:val="32"/>
        </w:rPr>
        <w:t>4</w:t>
      </w: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jc w:val="center"/>
        <w:rPr>
          <w:rFonts w:ascii="Arial" w:hAnsi="Arial" w:cs="Arial"/>
          <w:b/>
          <w:sz w:val="32"/>
        </w:rPr>
      </w:pPr>
    </w:p>
    <w:p w:rsidR="003E0B68" w:rsidRPr="00CB5AEA" w:rsidRDefault="003E0B68" w:rsidP="00E15710">
      <w:pPr>
        <w:tabs>
          <w:tab w:val="left" w:pos="4230"/>
        </w:tabs>
        <w:rPr>
          <w:rFonts w:ascii="Arial" w:hAnsi="Arial" w:cs="Arial"/>
          <w:b/>
          <w:u w:val="single"/>
        </w:rPr>
      </w:pPr>
    </w:p>
    <w:p w:rsidR="003E0B68" w:rsidRPr="00CB5AEA" w:rsidRDefault="003E0B68" w:rsidP="00E15710">
      <w:pPr>
        <w:tabs>
          <w:tab w:val="left" w:pos="4230"/>
        </w:tabs>
        <w:rPr>
          <w:rFonts w:ascii="Arial" w:hAnsi="Arial" w:cs="Arial"/>
          <w:b/>
          <w:u w:val="single"/>
        </w:rPr>
      </w:pPr>
    </w:p>
    <w:p w:rsidR="00623CDC" w:rsidRPr="00CB5AEA" w:rsidRDefault="00623CDC" w:rsidP="00E15710">
      <w:pPr>
        <w:rPr>
          <w:rFonts w:ascii="Arial" w:hAnsi="Arial" w:cs="Arial"/>
        </w:rPr>
      </w:pPr>
    </w:p>
    <w:p w:rsidR="00623CDC" w:rsidRPr="00CB5AEA" w:rsidRDefault="00623CDC" w:rsidP="00E15710">
      <w:pPr>
        <w:rPr>
          <w:rFonts w:ascii="Arial" w:hAnsi="Arial" w:cs="Arial"/>
        </w:rPr>
      </w:pPr>
    </w:p>
    <w:p w:rsidR="003E0B68" w:rsidRPr="00CB5AEA" w:rsidRDefault="003E0B68" w:rsidP="00E15710">
      <w:pPr>
        <w:rPr>
          <w:rFonts w:ascii="Arial" w:hAnsi="Arial" w:cs="Arial"/>
        </w:rPr>
      </w:pPr>
      <w:r w:rsidRPr="00CB5AEA">
        <w:rPr>
          <w:rFonts w:ascii="Arial" w:hAnsi="Arial" w:cs="Arial"/>
        </w:rPr>
        <w:t>The following is a listing of c</w:t>
      </w:r>
      <w:r w:rsidR="00C3208C" w:rsidRPr="00CB5AEA">
        <w:rPr>
          <w:rFonts w:ascii="Arial" w:hAnsi="Arial" w:cs="Arial"/>
        </w:rPr>
        <w:t>hanges made between releases</w:t>
      </w:r>
      <w:r w:rsidR="0057502F" w:rsidRPr="00CB5AEA">
        <w:rPr>
          <w:rFonts w:ascii="Arial" w:hAnsi="Arial" w:cs="Arial"/>
        </w:rPr>
        <w:t xml:space="preserve"> </w:t>
      </w:r>
      <w:r w:rsidR="003C713E">
        <w:rPr>
          <w:rFonts w:ascii="Arial" w:hAnsi="Arial" w:cs="Arial"/>
        </w:rPr>
        <w:t>3</w:t>
      </w:r>
      <w:r w:rsidR="0034598C" w:rsidRPr="00CB5AEA">
        <w:rPr>
          <w:rFonts w:ascii="Arial" w:hAnsi="Arial" w:cs="Arial"/>
        </w:rPr>
        <w:t>.</w:t>
      </w:r>
      <w:r w:rsidR="00535232">
        <w:rPr>
          <w:rFonts w:ascii="Arial" w:hAnsi="Arial" w:cs="Arial"/>
        </w:rPr>
        <w:t>7</w:t>
      </w:r>
      <w:r w:rsidR="0057502F" w:rsidRPr="00CB5AEA">
        <w:rPr>
          <w:rFonts w:ascii="Arial" w:hAnsi="Arial" w:cs="Arial"/>
        </w:rPr>
        <w:t xml:space="preserve"> and </w:t>
      </w:r>
      <w:r w:rsidR="003C713E">
        <w:rPr>
          <w:rFonts w:ascii="Arial" w:hAnsi="Arial" w:cs="Arial"/>
        </w:rPr>
        <w:t>3</w:t>
      </w:r>
      <w:r w:rsidR="00B47D6A" w:rsidRPr="00CB5AEA">
        <w:rPr>
          <w:rFonts w:ascii="Arial" w:hAnsi="Arial" w:cs="Arial"/>
        </w:rPr>
        <w:t>.</w:t>
      </w:r>
      <w:r w:rsidR="00535232">
        <w:rPr>
          <w:rFonts w:ascii="Arial" w:hAnsi="Arial" w:cs="Arial"/>
        </w:rPr>
        <w:t>8</w:t>
      </w:r>
      <w:r w:rsidRPr="00CB5AEA">
        <w:rPr>
          <w:rFonts w:ascii="Arial" w:hAnsi="Arial" w:cs="Arial"/>
        </w:rPr>
        <w:t xml:space="preserve"> of </w:t>
      </w:r>
      <w:r w:rsidR="004872F0">
        <w:rPr>
          <w:rFonts w:ascii="Arial" w:hAnsi="Arial" w:cs="Arial"/>
        </w:rPr>
        <w:t xml:space="preserve">the </w:t>
      </w:r>
      <w:r w:rsidR="004872F0" w:rsidRPr="00377F79">
        <w:rPr>
          <w:rFonts w:ascii="Arial" w:hAnsi="Arial" w:cs="Arial"/>
          <w:i/>
        </w:rPr>
        <w:t>MedDRA</w:t>
      </w:r>
      <w:r w:rsidR="004872F0">
        <w:rPr>
          <w:rFonts w:ascii="Arial" w:hAnsi="Arial" w:cs="Arial"/>
        </w:rPr>
        <w:t xml:space="preserve"> </w:t>
      </w:r>
      <w:r w:rsidR="00623CDC" w:rsidRPr="00CB5AEA">
        <w:rPr>
          <w:rFonts w:ascii="Arial" w:hAnsi="Arial" w:cs="Arial"/>
          <w:i/>
          <w:iCs/>
        </w:rPr>
        <w:t>Data Retrieval and Presentation</w:t>
      </w:r>
      <w:r w:rsidRPr="00CB5AEA">
        <w:rPr>
          <w:rFonts w:ascii="Arial" w:hAnsi="Arial" w:cs="Arial"/>
          <w:i/>
          <w:iCs/>
        </w:rPr>
        <w:t>: Points to Consider</w:t>
      </w:r>
      <w:r w:rsidR="004872F0">
        <w:rPr>
          <w:rFonts w:ascii="Arial" w:hAnsi="Arial" w:cs="Arial"/>
        </w:rPr>
        <w:t xml:space="preserve"> document</w:t>
      </w:r>
      <w:r w:rsidR="00147725">
        <w:rPr>
          <w:rFonts w:ascii="Arial" w:hAnsi="Arial" w:cs="Arial"/>
        </w:rPr>
        <w:t>.</w:t>
      </w:r>
    </w:p>
    <w:p w:rsidR="003E0B68" w:rsidRPr="00CB5AEA" w:rsidRDefault="003E0B68" w:rsidP="00E15710">
      <w:pPr>
        <w:rPr>
          <w:rFonts w:ascii="Arial" w:hAnsi="Arial" w:cs="Arial"/>
        </w:rPr>
      </w:pPr>
    </w:p>
    <w:p w:rsidR="003E0B68" w:rsidRPr="00CB5AEA" w:rsidRDefault="003E0B68" w:rsidP="00E15710">
      <w:pPr>
        <w:pStyle w:val="Heading1"/>
        <w:rPr>
          <w:rFonts w:ascii="Arial" w:hAnsi="Arial" w:cs="Arial"/>
        </w:rPr>
      </w:pPr>
      <w:r w:rsidRPr="00CB5AEA">
        <w:rPr>
          <w:rFonts w:ascii="Arial" w:hAnsi="Arial" w:cs="Arial"/>
        </w:rPr>
        <w:t>Throughout document</w:t>
      </w:r>
    </w:p>
    <w:p w:rsidR="003E0B68" w:rsidRPr="00CB5AEA" w:rsidRDefault="003E0B68" w:rsidP="00E15710">
      <w:pPr>
        <w:rPr>
          <w:rFonts w:ascii="Arial" w:hAnsi="Arial" w:cs="Arial"/>
          <w:b/>
          <w:bCs/>
        </w:rPr>
      </w:pPr>
    </w:p>
    <w:p w:rsidR="003E0B68" w:rsidRPr="00CB5AEA" w:rsidRDefault="003E0B68" w:rsidP="00E15710">
      <w:pPr>
        <w:numPr>
          <w:ilvl w:val="0"/>
          <w:numId w:val="1"/>
        </w:numPr>
        <w:rPr>
          <w:rFonts w:ascii="Arial" w:hAnsi="Arial" w:cs="Arial"/>
          <w:szCs w:val="20"/>
        </w:rPr>
      </w:pPr>
      <w:r w:rsidRPr="00CB5AEA">
        <w:rPr>
          <w:rFonts w:ascii="Arial" w:hAnsi="Arial" w:cs="Arial"/>
          <w:szCs w:val="20"/>
        </w:rPr>
        <w:t>Correction of general spelling, punctua</w:t>
      </w:r>
      <w:r w:rsidR="00C87943" w:rsidRPr="00CB5AEA">
        <w:rPr>
          <w:rFonts w:ascii="Arial" w:hAnsi="Arial" w:cs="Arial"/>
          <w:szCs w:val="20"/>
        </w:rPr>
        <w:t>tion, spacing</w:t>
      </w:r>
      <w:r w:rsidR="005E4519" w:rsidRPr="00CB5AEA">
        <w:rPr>
          <w:rFonts w:ascii="Arial" w:hAnsi="Arial" w:cs="Arial"/>
          <w:szCs w:val="20"/>
        </w:rPr>
        <w:t>,</w:t>
      </w:r>
      <w:r w:rsidR="00C87943" w:rsidRPr="00CB5AEA">
        <w:rPr>
          <w:rFonts w:ascii="Arial" w:hAnsi="Arial" w:cs="Arial"/>
          <w:szCs w:val="20"/>
        </w:rPr>
        <w:t xml:space="preserve"> </w:t>
      </w:r>
      <w:r w:rsidR="00AE79BF">
        <w:rPr>
          <w:rFonts w:ascii="Arial" w:hAnsi="Arial" w:cs="Arial"/>
          <w:szCs w:val="20"/>
        </w:rPr>
        <w:t xml:space="preserve">figure numbering, </w:t>
      </w:r>
      <w:r w:rsidR="00C87943" w:rsidRPr="00CB5AEA">
        <w:rPr>
          <w:rFonts w:ascii="Arial" w:hAnsi="Arial" w:cs="Arial"/>
          <w:szCs w:val="20"/>
        </w:rPr>
        <w:t>and format errors</w:t>
      </w:r>
    </w:p>
    <w:p w:rsidR="003E0B68" w:rsidRPr="00CB5AEA" w:rsidRDefault="003E0B68" w:rsidP="00E15710">
      <w:pPr>
        <w:numPr>
          <w:ilvl w:val="0"/>
          <w:numId w:val="1"/>
        </w:numPr>
        <w:rPr>
          <w:rFonts w:ascii="Arial" w:hAnsi="Arial" w:cs="Arial"/>
          <w:szCs w:val="20"/>
        </w:rPr>
      </w:pPr>
      <w:r w:rsidRPr="00CB5AEA">
        <w:rPr>
          <w:rFonts w:ascii="Arial" w:hAnsi="Arial" w:cs="Arial"/>
          <w:szCs w:val="20"/>
        </w:rPr>
        <w:t>Replacement of r</w:t>
      </w:r>
      <w:r w:rsidR="0057502F" w:rsidRPr="00CB5AEA">
        <w:rPr>
          <w:rFonts w:ascii="Arial" w:hAnsi="Arial" w:cs="Arial"/>
          <w:szCs w:val="20"/>
        </w:rPr>
        <w:t xml:space="preserve">eferences to MedDRA Version </w:t>
      </w:r>
      <w:r w:rsidR="00453119">
        <w:rPr>
          <w:rFonts w:ascii="Arial" w:hAnsi="Arial" w:cs="Arial"/>
          <w:szCs w:val="20"/>
        </w:rPr>
        <w:t>1</w:t>
      </w:r>
      <w:r w:rsidR="00535232">
        <w:rPr>
          <w:rFonts w:ascii="Arial" w:hAnsi="Arial" w:cs="Arial"/>
          <w:szCs w:val="20"/>
        </w:rPr>
        <w:t>7.0</w:t>
      </w:r>
      <w:r w:rsidR="0057502F" w:rsidRPr="00CB5AEA">
        <w:rPr>
          <w:rFonts w:ascii="Arial" w:hAnsi="Arial" w:cs="Arial"/>
          <w:szCs w:val="20"/>
        </w:rPr>
        <w:t xml:space="preserve"> to Version </w:t>
      </w:r>
      <w:r w:rsidR="00F17E6A" w:rsidRPr="00CB5AEA">
        <w:rPr>
          <w:rFonts w:ascii="Arial" w:hAnsi="Arial" w:cs="Arial"/>
          <w:szCs w:val="20"/>
        </w:rPr>
        <w:t>1</w:t>
      </w:r>
      <w:r w:rsidR="00535232">
        <w:rPr>
          <w:rFonts w:ascii="Arial" w:hAnsi="Arial" w:cs="Arial"/>
          <w:szCs w:val="20"/>
        </w:rPr>
        <w:t>7.1</w:t>
      </w:r>
    </w:p>
    <w:p w:rsidR="0093674E" w:rsidRDefault="003E0B68" w:rsidP="00E15710">
      <w:pPr>
        <w:numPr>
          <w:ilvl w:val="0"/>
          <w:numId w:val="1"/>
        </w:numPr>
        <w:rPr>
          <w:rFonts w:ascii="Arial" w:hAnsi="Arial" w:cs="Arial"/>
        </w:rPr>
      </w:pPr>
      <w:r w:rsidRPr="00CB5AEA">
        <w:rPr>
          <w:rFonts w:ascii="Arial" w:hAnsi="Arial" w:cs="Arial"/>
        </w:rPr>
        <w:t xml:space="preserve">Update of examples </w:t>
      </w:r>
      <w:r w:rsidR="001C74CF" w:rsidRPr="00CB5AEA">
        <w:rPr>
          <w:rFonts w:ascii="Arial" w:hAnsi="Arial" w:cs="Arial"/>
        </w:rPr>
        <w:t>based on MedDRA version changes</w:t>
      </w:r>
    </w:p>
    <w:p w:rsidR="00326B88" w:rsidRDefault="00326B88" w:rsidP="00A831B2">
      <w:pPr>
        <w:rPr>
          <w:rFonts w:ascii="Arial" w:hAnsi="Arial" w:cs="Arial"/>
          <w:b/>
        </w:rPr>
      </w:pPr>
    </w:p>
    <w:p w:rsidR="00326B88" w:rsidRDefault="00326B88" w:rsidP="00326B88">
      <w:pPr>
        <w:pStyle w:val="Heading3"/>
        <w:rPr>
          <w:sz w:val="24"/>
        </w:rPr>
      </w:pPr>
      <w:r>
        <w:rPr>
          <w:sz w:val="24"/>
        </w:rPr>
        <w:t>SECTION 1 – INTRODUCTION</w:t>
      </w:r>
    </w:p>
    <w:p w:rsidR="00326B88" w:rsidRDefault="00326B88" w:rsidP="00326B88"/>
    <w:p w:rsidR="00326B88" w:rsidRPr="008F1A07" w:rsidRDefault="00326B88" w:rsidP="00326B88">
      <w:pPr>
        <w:rPr>
          <w:rFonts w:ascii="Arial" w:hAnsi="Arial"/>
        </w:rPr>
      </w:pPr>
      <w:r>
        <w:rPr>
          <w:rFonts w:ascii="Arial" w:hAnsi="Arial"/>
        </w:rPr>
        <w:t>The last sentence of the fourth</w:t>
      </w:r>
      <w:r w:rsidRPr="008F1A07">
        <w:rPr>
          <w:rFonts w:ascii="Arial" w:hAnsi="Arial"/>
        </w:rPr>
        <w:t xml:space="preserve"> paragraph was modified to include representatives from the Korean regulatory authority in the list of working group members as follows:</w:t>
      </w:r>
    </w:p>
    <w:p w:rsidR="007045EF" w:rsidRDefault="007045EF" w:rsidP="00326B88"/>
    <w:p w:rsidR="00326B88" w:rsidRPr="007045EF" w:rsidRDefault="007045EF" w:rsidP="007045EF">
      <w:pPr>
        <w:ind w:left="720"/>
        <w:rPr>
          <w:rFonts w:ascii="Arial" w:hAnsi="Arial"/>
        </w:rPr>
      </w:pPr>
      <w:r w:rsidRPr="007045EF">
        <w:rPr>
          <w:rFonts w:ascii="Arial" w:hAnsi="Arial"/>
        </w:rPr>
        <w:t xml:space="preserve">This </w:t>
      </w:r>
      <w:r w:rsidRPr="007045EF">
        <w:rPr>
          <w:rFonts w:ascii="Arial" w:hAnsi="Arial"/>
          <w:i/>
        </w:rPr>
        <w:t>Data Retrieval and Presentation: Points to Consider</w:t>
      </w:r>
      <w:r w:rsidRPr="007045EF">
        <w:rPr>
          <w:rFonts w:ascii="Arial" w:hAnsi="Arial"/>
        </w:rPr>
        <w:t xml:space="preserve"> (DRP</w:t>
      </w:r>
      <w:proofErr w:type="gramStart"/>
      <w:r w:rsidRPr="007045EF">
        <w:rPr>
          <w:rFonts w:ascii="Arial" w:hAnsi="Arial"/>
        </w:rPr>
        <w:t>:PTC</w:t>
      </w:r>
      <w:proofErr w:type="gramEnd"/>
      <w:r w:rsidRPr="007045EF">
        <w:rPr>
          <w:rFonts w:ascii="Arial" w:hAnsi="Arial"/>
        </w:rPr>
        <w:t xml:space="preserve">) document is an ICH-endorsed guide for MedDRA users. It is updated in step with new MedDRA versions and is a companion document to MedDRA. It was developed and is maintained by a working group charged </w:t>
      </w:r>
      <w:r w:rsidR="00E576F4">
        <w:rPr>
          <w:rFonts w:ascii="Arial" w:hAnsi="Arial"/>
        </w:rPr>
        <w:t xml:space="preserve">by the ICH Steering Committee. </w:t>
      </w:r>
      <w:bookmarkStart w:id="0" w:name="_GoBack"/>
      <w:bookmarkEnd w:id="0"/>
      <w:r w:rsidRPr="007045EF">
        <w:rPr>
          <w:rFonts w:ascii="Arial" w:hAnsi="Arial"/>
        </w:rPr>
        <w:t>The working group consists of regulatory and industry representatives of the European Union, Japan, and the United States, as well as representatives from the Canadian and Korean regulatory authorities, the MedDRA Maintenance and Support Services Organization (MSSO) and the Japanese Maintenance Organization (JMO). (See Appendix, Section 6.2 for list of members).</w:t>
      </w:r>
    </w:p>
    <w:p w:rsidR="00A831B2" w:rsidRDefault="00A831B2" w:rsidP="00A831B2">
      <w:pPr>
        <w:rPr>
          <w:rFonts w:ascii="Arial" w:hAnsi="Arial" w:cs="Arial"/>
          <w:b/>
        </w:rPr>
      </w:pPr>
    </w:p>
    <w:p w:rsidR="00535232" w:rsidRPr="007247A9" w:rsidRDefault="00535232" w:rsidP="00535232">
      <w:pPr>
        <w:pStyle w:val="Heading3"/>
      </w:pPr>
      <w:bookmarkStart w:id="1" w:name="_Toc268529004"/>
      <w:bookmarkStart w:id="2" w:name="_Toc383782357"/>
      <w:bookmarkStart w:id="3" w:name="_Toc268589110"/>
      <w:proofErr w:type="gramStart"/>
      <w:r>
        <w:t xml:space="preserve">2.1.1  </w:t>
      </w:r>
      <w:r w:rsidRPr="007247A9">
        <w:t>Data</w:t>
      </w:r>
      <w:proofErr w:type="gramEnd"/>
      <w:r w:rsidRPr="007247A9">
        <w:t xml:space="preserve"> conversion considerations</w:t>
      </w:r>
      <w:bookmarkEnd w:id="1"/>
      <w:bookmarkEnd w:id="2"/>
    </w:p>
    <w:p w:rsidR="00535232" w:rsidRDefault="00535232" w:rsidP="007D3545">
      <w:pPr>
        <w:pStyle w:val="Heading2"/>
        <w:rPr>
          <w:b w:val="0"/>
          <w:i w:val="0"/>
          <w:sz w:val="24"/>
          <w:szCs w:val="24"/>
        </w:rPr>
      </w:pPr>
      <w:r w:rsidRPr="00535232">
        <w:rPr>
          <w:b w:val="0"/>
          <w:i w:val="0"/>
          <w:sz w:val="24"/>
          <w:szCs w:val="24"/>
        </w:rPr>
        <w:t xml:space="preserve">The Examples tables in this section: </w:t>
      </w:r>
    </w:p>
    <w:p w:rsidR="00535232" w:rsidRDefault="00535232" w:rsidP="00535232"/>
    <w:p w:rsidR="00535232" w:rsidRPr="00535232" w:rsidRDefault="00535232" w:rsidP="00535232">
      <w:pPr>
        <w:rPr>
          <w:rFonts w:ascii="Arial" w:hAnsi="Arial"/>
        </w:rPr>
      </w:pPr>
      <w:r w:rsidRPr="00535232">
        <w:rPr>
          <w:rFonts w:ascii="Arial" w:hAnsi="Arial"/>
        </w:rPr>
        <w:t>Example</w:t>
      </w:r>
    </w:p>
    <w:p w:rsidR="00535232" w:rsidRPr="00535232" w:rsidRDefault="00535232" w:rsidP="0053523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535232" w:rsidRPr="00535232">
        <w:trPr>
          <w:tblHeader/>
        </w:trPr>
        <w:tc>
          <w:tcPr>
            <w:tcW w:w="3099" w:type="dxa"/>
            <w:shd w:val="clear" w:color="auto" w:fill="E0E0E0"/>
            <w:vAlign w:val="center"/>
          </w:tcPr>
          <w:p w:rsidR="00535232" w:rsidRPr="00535232" w:rsidRDefault="00535232" w:rsidP="00650D98">
            <w:pPr>
              <w:jc w:val="center"/>
              <w:rPr>
                <w:rFonts w:ascii="Arial" w:hAnsi="Arial"/>
                <w:b/>
              </w:rPr>
            </w:pPr>
            <w:r w:rsidRPr="00535232">
              <w:rPr>
                <w:rFonts w:ascii="Arial" w:hAnsi="Arial"/>
                <w:b/>
              </w:rPr>
              <w:t>Reported</w:t>
            </w:r>
          </w:p>
        </w:tc>
        <w:tc>
          <w:tcPr>
            <w:tcW w:w="3089" w:type="dxa"/>
            <w:shd w:val="clear" w:color="auto" w:fill="E0E0E0"/>
            <w:vAlign w:val="center"/>
          </w:tcPr>
          <w:p w:rsidR="00535232" w:rsidRPr="00535232" w:rsidRDefault="00535232" w:rsidP="00650D98">
            <w:pPr>
              <w:jc w:val="center"/>
              <w:rPr>
                <w:rFonts w:ascii="Arial" w:hAnsi="Arial"/>
                <w:b/>
              </w:rPr>
            </w:pPr>
            <w:r w:rsidRPr="00535232">
              <w:rPr>
                <w:rFonts w:ascii="Arial" w:hAnsi="Arial"/>
                <w:b/>
              </w:rPr>
              <w:t>Legacy Term</w:t>
            </w:r>
          </w:p>
        </w:tc>
        <w:tc>
          <w:tcPr>
            <w:tcW w:w="2668" w:type="dxa"/>
            <w:shd w:val="clear" w:color="auto" w:fill="E0E0E0"/>
            <w:vAlign w:val="center"/>
          </w:tcPr>
          <w:p w:rsidR="00535232" w:rsidRPr="00535232" w:rsidRDefault="00535232" w:rsidP="00650D98">
            <w:pPr>
              <w:jc w:val="center"/>
              <w:rPr>
                <w:rFonts w:ascii="Arial" w:hAnsi="Arial"/>
                <w:b/>
              </w:rPr>
            </w:pPr>
            <w:r w:rsidRPr="00535232">
              <w:rPr>
                <w:rFonts w:ascii="Arial" w:hAnsi="Arial"/>
                <w:b/>
              </w:rPr>
              <w:t>MedDRA Term</w:t>
            </w:r>
          </w:p>
        </w:tc>
      </w:tr>
      <w:tr w:rsidR="00535232" w:rsidRPr="00535232">
        <w:tc>
          <w:tcPr>
            <w:tcW w:w="3099" w:type="dxa"/>
            <w:vAlign w:val="center"/>
          </w:tcPr>
          <w:p w:rsidR="00535232" w:rsidRPr="00535232" w:rsidRDefault="00535232" w:rsidP="00650D98">
            <w:pPr>
              <w:jc w:val="center"/>
              <w:rPr>
                <w:rFonts w:ascii="Arial" w:hAnsi="Arial"/>
              </w:rPr>
            </w:pPr>
            <w:r w:rsidRPr="00535232">
              <w:rPr>
                <w:rFonts w:ascii="Arial" w:hAnsi="Arial"/>
              </w:rPr>
              <w:t>Bowel ischaemia</w:t>
            </w:r>
          </w:p>
        </w:tc>
        <w:tc>
          <w:tcPr>
            <w:tcW w:w="3089" w:type="dxa"/>
            <w:vAlign w:val="center"/>
          </w:tcPr>
          <w:p w:rsidR="00535232" w:rsidRPr="00535232" w:rsidRDefault="00535232" w:rsidP="00650D98">
            <w:pPr>
              <w:rPr>
                <w:rFonts w:ascii="Arial" w:hAnsi="Arial"/>
              </w:rPr>
            </w:pPr>
            <w:r w:rsidRPr="00535232">
              <w:rPr>
                <w:rFonts w:ascii="Arial" w:hAnsi="Arial"/>
              </w:rPr>
              <w:t>Gastrointestinal Disorder</w:t>
            </w:r>
          </w:p>
        </w:tc>
        <w:tc>
          <w:tcPr>
            <w:tcW w:w="2668" w:type="dxa"/>
            <w:vAlign w:val="center"/>
          </w:tcPr>
          <w:p w:rsidR="00535232" w:rsidRPr="00535232" w:rsidRDefault="00535232" w:rsidP="00650D98">
            <w:pPr>
              <w:jc w:val="center"/>
              <w:rPr>
                <w:rFonts w:ascii="Arial" w:hAnsi="Arial"/>
              </w:rPr>
            </w:pPr>
            <w:r w:rsidRPr="00535232">
              <w:rPr>
                <w:rFonts w:ascii="Arial" w:hAnsi="Arial"/>
              </w:rPr>
              <w:t>Gastrointestinal disorder</w:t>
            </w:r>
          </w:p>
        </w:tc>
      </w:tr>
    </w:tbl>
    <w:p w:rsidR="00535232" w:rsidRDefault="00535232" w:rsidP="00535232"/>
    <w:p w:rsidR="00535232" w:rsidRPr="00535232" w:rsidRDefault="00535232" w:rsidP="00535232">
      <w:pPr>
        <w:rPr>
          <w:rFonts w:ascii="Arial" w:hAnsi="Arial"/>
        </w:rPr>
      </w:pPr>
      <w:r w:rsidRPr="00535232">
        <w:rPr>
          <w:rFonts w:ascii="Arial" w:hAnsi="Arial"/>
        </w:rPr>
        <w:t>Example</w:t>
      </w:r>
    </w:p>
    <w:p w:rsidR="00535232" w:rsidRPr="00535232" w:rsidRDefault="00535232" w:rsidP="0053523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535232" w:rsidRPr="00535232">
        <w:trPr>
          <w:tblHeader/>
        </w:trPr>
        <w:tc>
          <w:tcPr>
            <w:tcW w:w="3099" w:type="dxa"/>
            <w:shd w:val="clear" w:color="auto" w:fill="E0E0E0"/>
            <w:vAlign w:val="center"/>
          </w:tcPr>
          <w:p w:rsidR="00535232" w:rsidRPr="00535232" w:rsidRDefault="00535232" w:rsidP="00650D98">
            <w:pPr>
              <w:jc w:val="center"/>
              <w:rPr>
                <w:rFonts w:ascii="Arial" w:hAnsi="Arial"/>
                <w:b/>
              </w:rPr>
            </w:pPr>
            <w:r w:rsidRPr="00535232">
              <w:rPr>
                <w:rFonts w:ascii="Arial" w:hAnsi="Arial"/>
                <w:b/>
              </w:rPr>
              <w:t>Reported</w:t>
            </w:r>
          </w:p>
        </w:tc>
        <w:tc>
          <w:tcPr>
            <w:tcW w:w="3089" w:type="dxa"/>
            <w:shd w:val="clear" w:color="auto" w:fill="E0E0E0"/>
            <w:vAlign w:val="center"/>
          </w:tcPr>
          <w:p w:rsidR="00535232" w:rsidRPr="00535232" w:rsidRDefault="00535232" w:rsidP="00650D98">
            <w:pPr>
              <w:jc w:val="center"/>
              <w:rPr>
                <w:rFonts w:ascii="Arial" w:hAnsi="Arial"/>
                <w:b/>
              </w:rPr>
            </w:pPr>
            <w:r w:rsidRPr="00535232">
              <w:rPr>
                <w:rFonts w:ascii="Arial" w:hAnsi="Arial"/>
                <w:b/>
              </w:rPr>
              <w:t>Legacy Term</w:t>
            </w:r>
          </w:p>
        </w:tc>
        <w:tc>
          <w:tcPr>
            <w:tcW w:w="2668" w:type="dxa"/>
            <w:shd w:val="clear" w:color="auto" w:fill="E0E0E0"/>
            <w:vAlign w:val="center"/>
          </w:tcPr>
          <w:p w:rsidR="00535232" w:rsidRPr="00535232" w:rsidRDefault="00535232" w:rsidP="00650D98">
            <w:pPr>
              <w:jc w:val="center"/>
              <w:rPr>
                <w:rFonts w:ascii="Arial" w:hAnsi="Arial"/>
                <w:b/>
              </w:rPr>
            </w:pPr>
            <w:r w:rsidRPr="00535232">
              <w:rPr>
                <w:rFonts w:ascii="Arial" w:hAnsi="Arial"/>
                <w:b/>
              </w:rPr>
              <w:t>MedDRA Term</w:t>
            </w:r>
          </w:p>
        </w:tc>
      </w:tr>
      <w:tr w:rsidR="00535232" w:rsidRPr="00535232">
        <w:tc>
          <w:tcPr>
            <w:tcW w:w="3099" w:type="dxa"/>
            <w:vAlign w:val="center"/>
          </w:tcPr>
          <w:p w:rsidR="00535232" w:rsidRPr="00535232" w:rsidRDefault="00535232" w:rsidP="00650D98">
            <w:pPr>
              <w:jc w:val="center"/>
              <w:rPr>
                <w:rFonts w:ascii="Arial" w:hAnsi="Arial"/>
              </w:rPr>
            </w:pPr>
            <w:r w:rsidRPr="00535232">
              <w:rPr>
                <w:rFonts w:ascii="Arial" w:hAnsi="Arial"/>
              </w:rPr>
              <w:t>Bowel ischaemia</w:t>
            </w:r>
          </w:p>
        </w:tc>
        <w:tc>
          <w:tcPr>
            <w:tcW w:w="3089" w:type="dxa"/>
            <w:vAlign w:val="center"/>
          </w:tcPr>
          <w:p w:rsidR="00535232" w:rsidRPr="00535232" w:rsidRDefault="00535232" w:rsidP="00650D98">
            <w:pPr>
              <w:rPr>
                <w:rFonts w:ascii="Arial" w:hAnsi="Arial"/>
              </w:rPr>
            </w:pPr>
            <w:r w:rsidRPr="00535232">
              <w:rPr>
                <w:rFonts w:ascii="Arial" w:hAnsi="Arial"/>
              </w:rPr>
              <w:t>Gastrointestinal Disorder</w:t>
            </w:r>
          </w:p>
        </w:tc>
        <w:tc>
          <w:tcPr>
            <w:tcW w:w="2668" w:type="dxa"/>
            <w:vAlign w:val="center"/>
          </w:tcPr>
          <w:p w:rsidR="00535232" w:rsidRPr="00535232" w:rsidRDefault="00535232" w:rsidP="00650D98">
            <w:pPr>
              <w:jc w:val="center"/>
              <w:rPr>
                <w:rFonts w:ascii="Arial" w:hAnsi="Arial"/>
              </w:rPr>
            </w:pPr>
            <w:r w:rsidRPr="00535232">
              <w:rPr>
                <w:rFonts w:ascii="Arial" w:hAnsi="Arial"/>
              </w:rPr>
              <w:t>Bowel ischaemia</w:t>
            </w:r>
          </w:p>
        </w:tc>
      </w:tr>
    </w:tbl>
    <w:p w:rsidR="00535232" w:rsidRDefault="00535232" w:rsidP="00535232"/>
    <w:p w:rsidR="00DC3271" w:rsidRDefault="00DC3271" w:rsidP="00535232">
      <w:pPr>
        <w:rPr>
          <w:rFonts w:ascii="Arial" w:hAnsi="Arial"/>
        </w:rPr>
      </w:pPr>
    </w:p>
    <w:p w:rsidR="00DC3271" w:rsidRDefault="00DC3271" w:rsidP="00535232">
      <w:pPr>
        <w:rPr>
          <w:rFonts w:ascii="Arial" w:hAnsi="Arial"/>
        </w:rPr>
      </w:pPr>
    </w:p>
    <w:p w:rsidR="00535232" w:rsidRDefault="00535232" w:rsidP="00535232">
      <w:pPr>
        <w:rPr>
          <w:rFonts w:ascii="Arial" w:hAnsi="Arial"/>
        </w:rPr>
      </w:pPr>
      <w:r w:rsidRPr="00535232">
        <w:rPr>
          <w:rFonts w:ascii="Arial" w:hAnsi="Arial"/>
        </w:rPr>
        <w:t>Were changed as follows:</w:t>
      </w:r>
    </w:p>
    <w:p w:rsidR="00535232" w:rsidRDefault="00535232" w:rsidP="00535232">
      <w:pPr>
        <w:rPr>
          <w:rFonts w:ascii="Arial" w:hAnsi="Arial"/>
        </w:rPr>
      </w:pPr>
    </w:p>
    <w:p w:rsidR="00535232" w:rsidRPr="00535232" w:rsidRDefault="00535232" w:rsidP="00535232">
      <w:pPr>
        <w:rPr>
          <w:rFonts w:ascii="Arial" w:hAnsi="Arial"/>
        </w:rPr>
      </w:pPr>
      <w:r w:rsidRPr="00535232">
        <w:rPr>
          <w:rFonts w:ascii="Arial" w:hAnsi="Arial"/>
        </w:rPr>
        <w:t>Example</w:t>
      </w:r>
    </w:p>
    <w:p w:rsidR="00535232" w:rsidRPr="00535232" w:rsidRDefault="00535232" w:rsidP="0053523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535232" w:rsidRPr="00535232">
        <w:trPr>
          <w:tblHeader/>
        </w:trPr>
        <w:tc>
          <w:tcPr>
            <w:tcW w:w="3099" w:type="dxa"/>
            <w:shd w:val="clear" w:color="auto" w:fill="E0E0E0"/>
            <w:vAlign w:val="center"/>
          </w:tcPr>
          <w:p w:rsidR="00535232" w:rsidRPr="00535232" w:rsidRDefault="00535232" w:rsidP="00650D98">
            <w:pPr>
              <w:spacing w:before="60" w:after="60"/>
              <w:jc w:val="center"/>
              <w:rPr>
                <w:rFonts w:ascii="Arial" w:hAnsi="Arial"/>
                <w:b/>
              </w:rPr>
            </w:pPr>
            <w:r w:rsidRPr="00535232">
              <w:rPr>
                <w:rFonts w:ascii="Arial" w:hAnsi="Arial"/>
                <w:b/>
              </w:rPr>
              <w:t>Reported</w:t>
            </w:r>
          </w:p>
        </w:tc>
        <w:tc>
          <w:tcPr>
            <w:tcW w:w="3089" w:type="dxa"/>
            <w:shd w:val="clear" w:color="auto" w:fill="E0E0E0"/>
            <w:vAlign w:val="center"/>
          </w:tcPr>
          <w:p w:rsidR="00535232" w:rsidRPr="00535232" w:rsidRDefault="00535232" w:rsidP="00650D98">
            <w:pPr>
              <w:spacing w:before="60" w:after="60"/>
              <w:jc w:val="center"/>
              <w:rPr>
                <w:rFonts w:ascii="Arial" w:hAnsi="Arial"/>
                <w:b/>
              </w:rPr>
            </w:pPr>
            <w:r w:rsidRPr="00535232">
              <w:rPr>
                <w:rFonts w:ascii="Arial" w:hAnsi="Arial"/>
                <w:b/>
              </w:rPr>
              <w:t>Legacy Term</w:t>
            </w:r>
          </w:p>
        </w:tc>
        <w:tc>
          <w:tcPr>
            <w:tcW w:w="2668" w:type="dxa"/>
            <w:shd w:val="clear" w:color="auto" w:fill="E0E0E0"/>
            <w:vAlign w:val="center"/>
          </w:tcPr>
          <w:p w:rsidR="00535232" w:rsidRPr="00535232" w:rsidRDefault="00535232" w:rsidP="00650D98">
            <w:pPr>
              <w:spacing w:before="60" w:after="60"/>
              <w:jc w:val="center"/>
              <w:rPr>
                <w:rFonts w:ascii="Arial" w:hAnsi="Arial"/>
                <w:b/>
              </w:rPr>
            </w:pPr>
            <w:r w:rsidRPr="00535232">
              <w:rPr>
                <w:rFonts w:ascii="Arial" w:hAnsi="Arial"/>
                <w:b/>
              </w:rPr>
              <w:t>MedDRA Term</w:t>
            </w:r>
          </w:p>
        </w:tc>
      </w:tr>
      <w:tr w:rsidR="00535232" w:rsidRPr="00535232">
        <w:tc>
          <w:tcPr>
            <w:tcW w:w="3099" w:type="dxa"/>
            <w:vAlign w:val="center"/>
          </w:tcPr>
          <w:p w:rsidR="00535232" w:rsidRPr="00535232" w:rsidRDefault="00535232" w:rsidP="00650D98">
            <w:pPr>
              <w:spacing w:before="60" w:after="60"/>
              <w:jc w:val="center"/>
              <w:rPr>
                <w:rFonts w:ascii="Arial" w:hAnsi="Arial"/>
              </w:rPr>
            </w:pPr>
            <w:r w:rsidRPr="00535232">
              <w:rPr>
                <w:rFonts w:ascii="Arial" w:hAnsi="Arial"/>
              </w:rPr>
              <w:t>Gastrointestinal ischaemia</w:t>
            </w:r>
          </w:p>
        </w:tc>
        <w:tc>
          <w:tcPr>
            <w:tcW w:w="3089" w:type="dxa"/>
            <w:vAlign w:val="center"/>
          </w:tcPr>
          <w:p w:rsidR="00535232" w:rsidRPr="00535232" w:rsidRDefault="00535232" w:rsidP="00650D98">
            <w:pPr>
              <w:spacing w:before="60" w:after="60"/>
              <w:rPr>
                <w:rFonts w:ascii="Arial" w:hAnsi="Arial"/>
              </w:rPr>
            </w:pPr>
            <w:r w:rsidRPr="00535232">
              <w:rPr>
                <w:rFonts w:ascii="Arial" w:hAnsi="Arial"/>
              </w:rPr>
              <w:t>Gastrointestinal Disorder</w:t>
            </w:r>
          </w:p>
        </w:tc>
        <w:tc>
          <w:tcPr>
            <w:tcW w:w="2668" w:type="dxa"/>
            <w:vAlign w:val="center"/>
          </w:tcPr>
          <w:p w:rsidR="00535232" w:rsidRPr="00535232" w:rsidRDefault="00535232" w:rsidP="00650D98">
            <w:pPr>
              <w:spacing w:before="60" w:after="60"/>
              <w:jc w:val="center"/>
              <w:rPr>
                <w:rFonts w:ascii="Arial" w:hAnsi="Arial"/>
              </w:rPr>
            </w:pPr>
            <w:r w:rsidRPr="00535232">
              <w:rPr>
                <w:rFonts w:ascii="Arial" w:hAnsi="Arial"/>
              </w:rPr>
              <w:t>Gastrointestinal disorder</w:t>
            </w:r>
          </w:p>
        </w:tc>
      </w:tr>
    </w:tbl>
    <w:p w:rsidR="00535232" w:rsidRPr="00535232" w:rsidRDefault="00535232" w:rsidP="00535232">
      <w:pPr>
        <w:rPr>
          <w:rFonts w:ascii="Arial" w:hAnsi="Arial"/>
        </w:rPr>
      </w:pPr>
    </w:p>
    <w:p w:rsidR="00535232" w:rsidRPr="00535232" w:rsidRDefault="00535232" w:rsidP="00535232">
      <w:pPr>
        <w:rPr>
          <w:rFonts w:ascii="Arial" w:hAnsi="Arial"/>
        </w:rPr>
      </w:pPr>
      <w:r w:rsidRPr="00535232">
        <w:rPr>
          <w:rFonts w:ascii="Arial" w:hAnsi="Arial"/>
        </w:rPr>
        <w:t>Example</w:t>
      </w:r>
    </w:p>
    <w:p w:rsidR="00535232" w:rsidRPr="00535232" w:rsidRDefault="00535232" w:rsidP="0053523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535232" w:rsidRPr="00535232">
        <w:trPr>
          <w:tblHeader/>
        </w:trPr>
        <w:tc>
          <w:tcPr>
            <w:tcW w:w="3099" w:type="dxa"/>
            <w:shd w:val="clear" w:color="auto" w:fill="E0E0E0"/>
            <w:vAlign w:val="center"/>
          </w:tcPr>
          <w:p w:rsidR="00535232" w:rsidRPr="00535232" w:rsidRDefault="00535232" w:rsidP="00650D98">
            <w:pPr>
              <w:spacing w:before="60" w:after="60"/>
              <w:jc w:val="center"/>
              <w:rPr>
                <w:rFonts w:ascii="Arial" w:hAnsi="Arial"/>
                <w:b/>
              </w:rPr>
            </w:pPr>
            <w:r w:rsidRPr="00535232">
              <w:rPr>
                <w:rFonts w:ascii="Arial" w:hAnsi="Arial"/>
                <w:b/>
              </w:rPr>
              <w:t>Reported</w:t>
            </w:r>
          </w:p>
        </w:tc>
        <w:tc>
          <w:tcPr>
            <w:tcW w:w="3089" w:type="dxa"/>
            <w:shd w:val="clear" w:color="auto" w:fill="E0E0E0"/>
            <w:vAlign w:val="center"/>
          </w:tcPr>
          <w:p w:rsidR="00535232" w:rsidRPr="00535232" w:rsidRDefault="00535232" w:rsidP="00650D98">
            <w:pPr>
              <w:spacing w:before="60" w:after="60"/>
              <w:jc w:val="center"/>
              <w:rPr>
                <w:rFonts w:ascii="Arial" w:hAnsi="Arial"/>
                <w:b/>
              </w:rPr>
            </w:pPr>
            <w:r w:rsidRPr="00535232">
              <w:rPr>
                <w:rFonts w:ascii="Arial" w:hAnsi="Arial"/>
                <w:b/>
              </w:rPr>
              <w:t>Legacy Term</w:t>
            </w:r>
          </w:p>
        </w:tc>
        <w:tc>
          <w:tcPr>
            <w:tcW w:w="2668" w:type="dxa"/>
            <w:shd w:val="clear" w:color="auto" w:fill="E0E0E0"/>
            <w:vAlign w:val="center"/>
          </w:tcPr>
          <w:p w:rsidR="00535232" w:rsidRPr="00535232" w:rsidRDefault="00535232" w:rsidP="00650D98">
            <w:pPr>
              <w:spacing w:before="60" w:after="60"/>
              <w:jc w:val="center"/>
              <w:rPr>
                <w:rFonts w:ascii="Arial" w:hAnsi="Arial"/>
                <w:b/>
              </w:rPr>
            </w:pPr>
            <w:r w:rsidRPr="00535232">
              <w:rPr>
                <w:rFonts w:ascii="Arial" w:hAnsi="Arial"/>
                <w:b/>
              </w:rPr>
              <w:t>MedDRA Term</w:t>
            </w:r>
          </w:p>
        </w:tc>
      </w:tr>
      <w:tr w:rsidR="00535232" w:rsidRPr="00535232">
        <w:tc>
          <w:tcPr>
            <w:tcW w:w="3099" w:type="dxa"/>
            <w:vAlign w:val="center"/>
          </w:tcPr>
          <w:p w:rsidR="00535232" w:rsidRPr="00535232" w:rsidRDefault="00535232" w:rsidP="00650D98">
            <w:pPr>
              <w:spacing w:before="60" w:after="60"/>
              <w:jc w:val="center"/>
              <w:rPr>
                <w:rFonts w:ascii="Arial" w:hAnsi="Arial"/>
              </w:rPr>
            </w:pPr>
            <w:r w:rsidRPr="00535232">
              <w:rPr>
                <w:rFonts w:ascii="Arial" w:hAnsi="Arial"/>
              </w:rPr>
              <w:t>Gastrointestinal ischaemia</w:t>
            </w:r>
          </w:p>
        </w:tc>
        <w:tc>
          <w:tcPr>
            <w:tcW w:w="3089" w:type="dxa"/>
            <w:vAlign w:val="center"/>
          </w:tcPr>
          <w:p w:rsidR="00535232" w:rsidRPr="00535232" w:rsidRDefault="00535232" w:rsidP="00650D98">
            <w:pPr>
              <w:spacing w:before="60" w:after="60"/>
              <w:rPr>
                <w:rFonts w:ascii="Arial" w:hAnsi="Arial"/>
              </w:rPr>
            </w:pPr>
            <w:r w:rsidRPr="00535232">
              <w:rPr>
                <w:rFonts w:ascii="Arial" w:hAnsi="Arial"/>
              </w:rPr>
              <w:t>Gastrointestinal Disorder</w:t>
            </w:r>
          </w:p>
        </w:tc>
        <w:tc>
          <w:tcPr>
            <w:tcW w:w="2668" w:type="dxa"/>
            <w:vAlign w:val="center"/>
          </w:tcPr>
          <w:p w:rsidR="00535232" w:rsidRPr="00535232" w:rsidRDefault="00535232" w:rsidP="00650D98">
            <w:pPr>
              <w:spacing w:before="60" w:after="60"/>
              <w:jc w:val="center"/>
              <w:rPr>
                <w:rFonts w:ascii="Arial" w:hAnsi="Arial"/>
              </w:rPr>
            </w:pPr>
            <w:r w:rsidRPr="00535232">
              <w:rPr>
                <w:rFonts w:ascii="Arial" w:hAnsi="Arial"/>
              </w:rPr>
              <w:t>Gastrointestinal ischaemia</w:t>
            </w:r>
          </w:p>
        </w:tc>
      </w:tr>
    </w:tbl>
    <w:p w:rsidR="00535232" w:rsidRDefault="00535232" w:rsidP="00535232">
      <w:pPr>
        <w:rPr>
          <w:rFonts w:ascii="Arial" w:hAnsi="Arial"/>
        </w:rPr>
      </w:pPr>
    </w:p>
    <w:p w:rsidR="00535232" w:rsidRDefault="00535232" w:rsidP="00DC3271">
      <w:pPr>
        <w:pStyle w:val="Heading3"/>
      </w:pPr>
      <w:r>
        <w:t>2.</w:t>
      </w:r>
      <w:r w:rsidR="00DC3271">
        <w:t xml:space="preserve">1.2   Impact of data conversion </w:t>
      </w:r>
      <w:r>
        <w:t>method</w:t>
      </w:r>
    </w:p>
    <w:p w:rsidR="00535232" w:rsidRDefault="00535232" w:rsidP="00535232">
      <w:pPr>
        <w:pStyle w:val="Heading2"/>
        <w:rPr>
          <w:b w:val="0"/>
          <w:i w:val="0"/>
          <w:sz w:val="24"/>
          <w:szCs w:val="24"/>
        </w:rPr>
      </w:pPr>
      <w:r>
        <w:rPr>
          <w:b w:val="0"/>
          <w:i w:val="0"/>
          <w:sz w:val="24"/>
          <w:szCs w:val="24"/>
        </w:rPr>
        <w:t>The Example table</w:t>
      </w:r>
      <w:r w:rsidRPr="00535232">
        <w:rPr>
          <w:b w:val="0"/>
          <w:i w:val="0"/>
          <w:sz w:val="24"/>
          <w:szCs w:val="24"/>
        </w:rPr>
        <w:t xml:space="preserve"> in this section: </w:t>
      </w:r>
    </w:p>
    <w:p w:rsidR="00535232" w:rsidRDefault="00535232" w:rsidP="00535232"/>
    <w:p w:rsidR="00535232" w:rsidRPr="00535232" w:rsidRDefault="00535232" w:rsidP="00535232">
      <w:pPr>
        <w:rPr>
          <w:rFonts w:ascii="Arial" w:hAnsi="Arial"/>
        </w:rPr>
      </w:pPr>
      <w:r w:rsidRPr="00535232">
        <w:rPr>
          <w:rFonts w:ascii="Arial" w:hAnsi="Arial"/>
        </w:rPr>
        <w:t>Example</w:t>
      </w:r>
    </w:p>
    <w:p w:rsidR="00535232" w:rsidRDefault="00535232" w:rsidP="0053523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35232" w:rsidRPr="007247A9">
        <w:trPr>
          <w:tblHeader/>
        </w:trPr>
        <w:tc>
          <w:tcPr>
            <w:tcW w:w="8856" w:type="dxa"/>
            <w:shd w:val="clear" w:color="auto" w:fill="E0E0E0"/>
          </w:tcPr>
          <w:p w:rsidR="00535232" w:rsidRPr="00535232" w:rsidRDefault="00535232" w:rsidP="00650D98">
            <w:pPr>
              <w:jc w:val="center"/>
              <w:rPr>
                <w:rFonts w:ascii="Arial" w:hAnsi="Arial"/>
                <w:b/>
              </w:rPr>
            </w:pPr>
            <w:r w:rsidRPr="00535232">
              <w:rPr>
                <w:rFonts w:ascii="Arial" w:hAnsi="Arial"/>
                <w:b/>
              </w:rPr>
              <w:t>Impact of Method 1 Conversion on Search Strategy</w:t>
            </w:r>
          </w:p>
        </w:tc>
      </w:tr>
      <w:tr w:rsidR="00535232" w:rsidRPr="007247A9">
        <w:tc>
          <w:tcPr>
            <w:tcW w:w="8856" w:type="dxa"/>
          </w:tcPr>
          <w:p w:rsidR="00535232" w:rsidRPr="00535232" w:rsidRDefault="00535232" w:rsidP="00535232">
            <w:pPr>
              <w:jc w:val="center"/>
              <w:rPr>
                <w:rFonts w:ascii="Arial" w:hAnsi="Arial"/>
              </w:rPr>
            </w:pPr>
            <w:r w:rsidRPr="00535232">
              <w:rPr>
                <w:rFonts w:ascii="Arial" w:hAnsi="Arial"/>
              </w:rPr>
              <w:t xml:space="preserve">If searching with MedDRA PT </w:t>
            </w:r>
            <w:r w:rsidRPr="00535232">
              <w:rPr>
                <w:rFonts w:ascii="Arial" w:hAnsi="Arial"/>
                <w:i/>
              </w:rPr>
              <w:t>Bowel ischaemia</w:t>
            </w:r>
            <w:r w:rsidRPr="00535232">
              <w:rPr>
                <w:rFonts w:ascii="Arial" w:hAnsi="Arial"/>
              </w:rPr>
              <w:t xml:space="preserve">, cases of bowel ischaemia coded with the legacy term </w:t>
            </w:r>
            <w:r w:rsidRPr="00535232">
              <w:rPr>
                <w:rFonts w:ascii="Arial" w:hAnsi="Arial"/>
                <w:i/>
              </w:rPr>
              <w:t>Gastrointestinal disorder</w:t>
            </w:r>
            <w:r w:rsidRPr="00535232">
              <w:rPr>
                <w:rFonts w:ascii="Arial" w:hAnsi="Arial"/>
              </w:rPr>
              <w:t xml:space="preserve"> would be missed. In this case, it would be important to know the date </w:t>
            </w:r>
          </w:p>
          <w:p w:rsidR="00535232" w:rsidRPr="00535232" w:rsidRDefault="00535232" w:rsidP="00535232">
            <w:pPr>
              <w:jc w:val="center"/>
              <w:rPr>
                <w:rFonts w:ascii="Arial" w:hAnsi="Arial"/>
              </w:rPr>
            </w:pPr>
            <w:proofErr w:type="gramStart"/>
            <w:r w:rsidRPr="00535232">
              <w:rPr>
                <w:rFonts w:ascii="Arial" w:hAnsi="Arial"/>
              </w:rPr>
              <w:t>of</w:t>
            </w:r>
            <w:proofErr w:type="gramEnd"/>
            <w:r w:rsidRPr="00535232">
              <w:rPr>
                <w:rFonts w:ascii="Arial" w:hAnsi="Arial"/>
              </w:rPr>
              <w:t xml:space="preserve"> the legacy data conversion.</w:t>
            </w:r>
          </w:p>
        </w:tc>
      </w:tr>
    </w:tbl>
    <w:p w:rsidR="00535232" w:rsidRDefault="00535232" w:rsidP="00535232">
      <w:pPr>
        <w:rPr>
          <w:rFonts w:ascii="Arial" w:hAnsi="Arial"/>
        </w:rPr>
      </w:pPr>
    </w:p>
    <w:p w:rsidR="00535232" w:rsidRDefault="00535232" w:rsidP="00535232">
      <w:pPr>
        <w:rPr>
          <w:rFonts w:ascii="Arial" w:hAnsi="Arial"/>
        </w:rPr>
      </w:pPr>
      <w:r>
        <w:rPr>
          <w:rFonts w:ascii="Arial" w:hAnsi="Arial"/>
        </w:rPr>
        <w:t>Was</w:t>
      </w:r>
      <w:r w:rsidRPr="00535232">
        <w:rPr>
          <w:rFonts w:ascii="Arial" w:hAnsi="Arial"/>
        </w:rPr>
        <w:t xml:space="preserve"> changed as follows:</w:t>
      </w:r>
    </w:p>
    <w:p w:rsidR="00535232" w:rsidRDefault="00535232" w:rsidP="00535232">
      <w:pPr>
        <w:rPr>
          <w:rFonts w:ascii="Arial" w:hAnsi="Arial"/>
        </w:rPr>
      </w:pPr>
    </w:p>
    <w:p w:rsidR="00535232" w:rsidRDefault="00535232" w:rsidP="00535232">
      <w:pPr>
        <w:rPr>
          <w:rFonts w:ascii="Arial" w:hAnsi="Arial"/>
        </w:rPr>
      </w:pPr>
      <w:r>
        <w:rPr>
          <w:rFonts w:ascii="Arial" w:hAnsi="Arial"/>
        </w:rPr>
        <w:t>Example</w:t>
      </w:r>
    </w:p>
    <w:p w:rsidR="00535232" w:rsidRDefault="00535232" w:rsidP="0053523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35232" w:rsidRPr="007247A9">
        <w:trPr>
          <w:tblHeader/>
        </w:trPr>
        <w:tc>
          <w:tcPr>
            <w:tcW w:w="8856" w:type="dxa"/>
            <w:shd w:val="clear" w:color="auto" w:fill="E0E0E0"/>
          </w:tcPr>
          <w:p w:rsidR="00535232" w:rsidRPr="00535232" w:rsidRDefault="00535232" w:rsidP="00650D98">
            <w:pPr>
              <w:spacing w:before="60" w:after="60"/>
              <w:jc w:val="center"/>
              <w:rPr>
                <w:rFonts w:ascii="Arial" w:hAnsi="Arial"/>
                <w:b/>
              </w:rPr>
            </w:pPr>
            <w:r w:rsidRPr="00535232">
              <w:rPr>
                <w:rFonts w:ascii="Arial" w:hAnsi="Arial"/>
                <w:b/>
              </w:rPr>
              <w:t>Impact of Method 1 Conversion on Search Strategy</w:t>
            </w:r>
          </w:p>
        </w:tc>
      </w:tr>
      <w:tr w:rsidR="00535232" w:rsidRPr="007247A9">
        <w:trPr>
          <w:trHeight w:val="1034"/>
        </w:trPr>
        <w:tc>
          <w:tcPr>
            <w:tcW w:w="8856" w:type="dxa"/>
          </w:tcPr>
          <w:p w:rsidR="00535232" w:rsidRPr="00535232" w:rsidRDefault="00535232" w:rsidP="00535232">
            <w:pPr>
              <w:jc w:val="center"/>
              <w:rPr>
                <w:rFonts w:ascii="Arial" w:hAnsi="Arial"/>
              </w:rPr>
            </w:pPr>
            <w:r w:rsidRPr="00535232">
              <w:rPr>
                <w:rFonts w:ascii="Arial" w:hAnsi="Arial"/>
              </w:rPr>
              <w:t xml:space="preserve">If searching with MedDRA PT </w:t>
            </w:r>
            <w:r w:rsidRPr="00535232">
              <w:rPr>
                <w:rFonts w:ascii="Arial" w:hAnsi="Arial"/>
                <w:i/>
              </w:rPr>
              <w:t>Gastrointestinal ischaemia</w:t>
            </w:r>
            <w:r w:rsidR="006E6E68">
              <w:rPr>
                <w:rFonts w:ascii="Arial" w:hAnsi="Arial"/>
              </w:rPr>
              <w:t>, cases of gastrointestinal</w:t>
            </w:r>
            <w:r w:rsidRPr="00535232">
              <w:rPr>
                <w:rFonts w:ascii="Arial" w:hAnsi="Arial"/>
              </w:rPr>
              <w:t xml:space="preserve"> ischaemia coded with the legacy term </w:t>
            </w:r>
            <w:r w:rsidRPr="00535232">
              <w:rPr>
                <w:rFonts w:ascii="Arial" w:hAnsi="Arial"/>
                <w:i/>
              </w:rPr>
              <w:t>Gastrointestinal disorder</w:t>
            </w:r>
            <w:r w:rsidRPr="00535232">
              <w:rPr>
                <w:rFonts w:ascii="Arial" w:hAnsi="Arial"/>
              </w:rPr>
              <w:t xml:space="preserve"> would be missed. In this case, it would be important to know the date </w:t>
            </w:r>
          </w:p>
          <w:p w:rsidR="00535232" w:rsidRPr="00535232" w:rsidRDefault="00535232" w:rsidP="00535232">
            <w:pPr>
              <w:jc w:val="center"/>
              <w:rPr>
                <w:rFonts w:ascii="Arial" w:hAnsi="Arial"/>
              </w:rPr>
            </w:pPr>
            <w:proofErr w:type="gramStart"/>
            <w:r w:rsidRPr="00535232">
              <w:rPr>
                <w:rFonts w:ascii="Arial" w:hAnsi="Arial"/>
              </w:rPr>
              <w:t>of</w:t>
            </w:r>
            <w:proofErr w:type="gramEnd"/>
            <w:r w:rsidRPr="00535232">
              <w:rPr>
                <w:rFonts w:ascii="Arial" w:hAnsi="Arial"/>
              </w:rPr>
              <w:t xml:space="preserve"> the legacy data conversion.</w:t>
            </w:r>
          </w:p>
        </w:tc>
      </w:tr>
    </w:tbl>
    <w:p w:rsidR="00535232" w:rsidRPr="00535232" w:rsidRDefault="00535232" w:rsidP="00535232">
      <w:pPr>
        <w:rPr>
          <w:rFonts w:ascii="Arial" w:hAnsi="Arial"/>
        </w:rPr>
      </w:pPr>
    </w:p>
    <w:p w:rsidR="007D3545" w:rsidRPr="00BC6FBF" w:rsidRDefault="00A21F95" w:rsidP="007D3545">
      <w:pPr>
        <w:pStyle w:val="Heading2"/>
        <w:rPr>
          <w:i w:val="0"/>
          <w:sz w:val="24"/>
          <w:szCs w:val="24"/>
        </w:rPr>
      </w:pPr>
      <w:r w:rsidRPr="00A21F95">
        <w:rPr>
          <w:i w:val="0"/>
          <w:sz w:val="24"/>
          <w:szCs w:val="24"/>
        </w:rPr>
        <w:t>2.6 – MedDRA Versioning</w:t>
      </w:r>
      <w:bookmarkEnd w:id="3"/>
    </w:p>
    <w:p w:rsidR="007D3545" w:rsidRPr="00BC6FBF" w:rsidRDefault="007D3545" w:rsidP="007D3545"/>
    <w:p w:rsidR="00956CD6" w:rsidRDefault="00A21F95" w:rsidP="00956CD6">
      <w:pPr>
        <w:rPr>
          <w:rFonts w:ascii="Arial" w:hAnsi="Arial" w:cs="Arial"/>
        </w:rPr>
      </w:pPr>
      <w:r w:rsidRPr="00A21F95">
        <w:rPr>
          <w:rFonts w:ascii="Arial" w:hAnsi="Arial" w:cs="Arial"/>
        </w:rPr>
        <w:t>The Example tables in this section:</w:t>
      </w:r>
    </w:p>
    <w:p w:rsidR="00DC3271" w:rsidRDefault="00DC3271" w:rsidP="00956CD6">
      <w:pPr>
        <w:rPr>
          <w:rFonts w:ascii="Arial" w:hAnsi="Arial" w:cs="Arial"/>
        </w:rPr>
      </w:pPr>
    </w:p>
    <w:p w:rsidR="00DC3271" w:rsidRDefault="00DC3271" w:rsidP="00DC3271">
      <w:pPr>
        <w:rPr>
          <w:rFonts w:ascii="Arial" w:hAnsi="Arial" w:cs="Arial"/>
        </w:rPr>
      </w:pPr>
    </w:p>
    <w:p w:rsidR="00DC3271" w:rsidRDefault="00DC3271" w:rsidP="00DC3271">
      <w:pPr>
        <w:rPr>
          <w:rFonts w:ascii="Arial" w:hAnsi="Arial" w:cs="Arial"/>
        </w:rPr>
      </w:pPr>
    </w:p>
    <w:p w:rsidR="00DC1C2F" w:rsidRPr="00DC3271" w:rsidRDefault="00DC3271" w:rsidP="00DC1C2F">
      <w:pPr>
        <w:rPr>
          <w:rFonts w:ascii="Arial" w:hAnsi="Arial" w:cs="Arial"/>
        </w:rPr>
      </w:pPr>
      <w:r w:rsidRPr="00D238CA">
        <w:rPr>
          <w:rFonts w:ascii="Arial" w:hAnsi="Arial" w:cs="Arial"/>
        </w:rPr>
        <w:t>Example</w:t>
      </w:r>
    </w:p>
    <w:p w:rsidR="00D238CA" w:rsidRPr="00377F79" w:rsidRDefault="00D238CA" w:rsidP="00D238CA">
      <w:pPr>
        <w:rPr>
          <w:rFonts w:ascii="Arial" w:hAnsi="Arial" w:cs="Arial"/>
        </w:rPr>
      </w:pPr>
      <w:bookmarkStart w:id="4" w:name="_Toc3643320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238CA" w:rsidRPr="00EF69A6">
        <w:trPr>
          <w:tblHeader/>
        </w:trPr>
        <w:tc>
          <w:tcPr>
            <w:tcW w:w="8856" w:type="dxa"/>
            <w:shd w:val="clear" w:color="auto" w:fill="E0E0E0"/>
          </w:tcPr>
          <w:p w:rsidR="00D238CA" w:rsidRPr="00EF69A6" w:rsidRDefault="00D238CA" w:rsidP="00650D98">
            <w:pPr>
              <w:jc w:val="center"/>
              <w:rPr>
                <w:rFonts w:ascii="Arial" w:hAnsi="Arial" w:cs="Arial"/>
                <w:b/>
              </w:rPr>
            </w:pPr>
            <w:r w:rsidRPr="00D238CA">
              <w:rPr>
                <w:rFonts w:ascii="Arial" w:hAnsi="Arial" w:cs="Arial"/>
                <w:b/>
              </w:rPr>
              <w:t>Impact of Version Changes – Demoted PT</w:t>
            </w:r>
          </w:p>
        </w:tc>
      </w:tr>
      <w:tr w:rsidR="00D238CA" w:rsidRPr="00EF69A6">
        <w:tc>
          <w:tcPr>
            <w:tcW w:w="8856" w:type="dxa"/>
          </w:tcPr>
          <w:p w:rsidR="00D238CA" w:rsidRPr="00377F79" w:rsidRDefault="00D238CA" w:rsidP="00650D98">
            <w:pPr>
              <w:jc w:val="center"/>
              <w:rPr>
                <w:rFonts w:ascii="Arial" w:hAnsi="Arial" w:cs="Arial"/>
              </w:rPr>
            </w:pPr>
            <w:r w:rsidRPr="00D238CA">
              <w:rPr>
                <w:rFonts w:ascii="Arial" w:hAnsi="Arial" w:cs="Arial"/>
              </w:rPr>
              <w:t xml:space="preserve">PT </w:t>
            </w:r>
            <w:r w:rsidRPr="00377F79">
              <w:rPr>
                <w:rFonts w:ascii="Arial" w:hAnsi="Arial" w:cs="Arial"/>
                <w:i/>
              </w:rPr>
              <w:t>Pleural haemorrhage</w:t>
            </w:r>
            <w:r w:rsidRPr="00D238CA">
              <w:rPr>
                <w:rFonts w:ascii="Arial" w:hAnsi="Arial" w:cs="Arial"/>
                <w:i/>
              </w:rPr>
              <w:t xml:space="preserve"> </w:t>
            </w:r>
            <w:r w:rsidRPr="00EF69A6">
              <w:rPr>
                <w:rFonts w:ascii="Arial" w:hAnsi="Arial" w:cs="Arial"/>
              </w:rPr>
              <w:t>was included in a query developed using terms in MedDRA Version 16.</w:t>
            </w:r>
            <w:r w:rsidRPr="00377F79">
              <w:rPr>
                <w:rFonts w:ascii="Arial" w:hAnsi="Arial" w:cs="Arial"/>
              </w:rPr>
              <w:t>1</w:t>
            </w:r>
            <w:r w:rsidRPr="00D238CA">
              <w:rPr>
                <w:rFonts w:ascii="Arial" w:hAnsi="Arial" w:cs="Arial"/>
              </w:rPr>
              <w:t xml:space="preserve">. </w:t>
            </w:r>
            <w:r w:rsidRPr="00EF69A6">
              <w:rPr>
                <w:rFonts w:ascii="Arial" w:hAnsi="Arial" w:cs="Arial"/>
              </w:rPr>
              <w:t>If the query had been re-run on data using MedDRA Version 1</w:t>
            </w:r>
            <w:r w:rsidRPr="00377F79">
              <w:rPr>
                <w:rFonts w:ascii="Arial" w:hAnsi="Arial" w:cs="Arial"/>
              </w:rPr>
              <w:t>7.0</w:t>
            </w:r>
            <w:r w:rsidRPr="00D238CA">
              <w:rPr>
                <w:rFonts w:ascii="Arial" w:hAnsi="Arial" w:cs="Arial"/>
              </w:rPr>
              <w:t xml:space="preserve">, these events would not have been found at the PT level because PT </w:t>
            </w:r>
            <w:r w:rsidRPr="00377F79">
              <w:rPr>
                <w:rFonts w:ascii="Arial" w:hAnsi="Arial" w:cs="Arial"/>
                <w:i/>
              </w:rPr>
              <w:t xml:space="preserve">Pleural haemorrhage </w:t>
            </w:r>
            <w:r w:rsidRPr="00D238CA">
              <w:rPr>
                <w:rFonts w:ascii="Arial" w:hAnsi="Arial" w:cs="Arial"/>
              </w:rPr>
              <w:t xml:space="preserve">had been demoted to an LLT and linked to PT </w:t>
            </w:r>
            <w:r w:rsidRPr="00377F79">
              <w:rPr>
                <w:rFonts w:ascii="Arial" w:hAnsi="Arial" w:cs="Arial"/>
                <w:i/>
              </w:rPr>
              <w:t>Haemothorax</w:t>
            </w:r>
            <w:r w:rsidRPr="00D238CA">
              <w:rPr>
                <w:rFonts w:ascii="Arial" w:hAnsi="Arial" w:cs="Arial"/>
              </w:rPr>
              <w:t xml:space="preserve">. </w:t>
            </w:r>
          </w:p>
          <w:p w:rsidR="00D238CA" w:rsidRPr="00EF69A6" w:rsidRDefault="00D238CA" w:rsidP="00650D98">
            <w:pPr>
              <w:jc w:val="center"/>
              <w:rPr>
                <w:rFonts w:ascii="Arial" w:hAnsi="Arial" w:cs="Arial"/>
              </w:rPr>
            </w:pPr>
            <w:r w:rsidRPr="00D238CA">
              <w:rPr>
                <w:rFonts w:ascii="Arial" w:hAnsi="Arial" w:cs="Arial"/>
              </w:rPr>
              <w:t>See Figure 3.</w:t>
            </w:r>
          </w:p>
        </w:tc>
      </w:tr>
    </w:tbl>
    <w:p w:rsidR="00D238CA" w:rsidRPr="00377F79" w:rsidRDefault="00D238CA" w:rsidP="00D238CA">
      <w:pPr>
        <w:rPr>
          <w:rFonts w:ascii="Arial" w:hAnsi="Arial" w:cs="Arial"/>
        </w:rPr>
      </w:pPr>
    </w:p>
    <w:p w:rsidR="00D238CA" w:rsidRPr="00EF69A6" w:rsidRDefault="00D238CA" w:rsidP="00D238CA">
      <w:pPr>
        <w:rPr>
          <w:rFonts w:ascii="Arial" w:hAnsi="Arial" w:cs="Arial"/>
        </w:rPr>
      </w:pPr>
      <w:r w:rsidRPr="00D238CA">
        <w:rPr>
          <w:rFonts w:ascii="Arial" w:hAnsi="Arial" w:cs="Arial"/>
        </w:rPr>
        <w:t>Example</w:t>
      </w:r>
    </w:p>
    <w:p w:rsidR="00D238CA" w:rsidRPr="00377F79" w:rsidRDefault="00D238CA" w:rsidP="00D238C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238CA" w:rsidRPr="00EF69A6">
        <w:trPr>
          <w:tblHeader/>
        </w:trPr>
        <w:tc>
          <w:tcPr>
            <w:tcW w:w="8856" w:type="dxa"/>
            <w:shd w:val="clear" w:color="auto" w:fill="E0E0E0"/>
          </w:tcPr>
          <w:p w:rsidR="00D238CA" w:rsidRPr="00EF69A6" w:rsidRDefault="00D238CA" w:rsidP="00650D98">
            <w:pPr>
              <w:jc w:val="center"/>
              <w:rPr>
                <w:rFonts w:ascii="Arial" w:hAnsi="Arial" w:cs="Arial"/>
                <w:b/>
              </w:rPr>
            </w:pPr>
            <w:r w:rsidRPr="00D238CA">
              <w:rPr>
                <w:rFonts w:ascii="Arial" w:hAnsi="Arial" w:cs="Arial"/>
                <w:b/>
              </w:rPr>
              <w:t>Impact of Version Changes – Change of Primary SOC Assignment</w:t>
            </w:r>
          </w:p>
        </w:tc>
      </w:tr>
      <w:tr w:rsidR="00D238CA" w:rsidRPr="00EF69A6">
        <w:tc>
          <w:tcPr>
            <w:tcW w:w="8856" w:type="dxa"/>
          </w:tcPr>
          <w:p w:rsidR="00D238CA" w:rsidRPr="00EF69A6" w:rsidRDefault="00D238CA" w:rsidP="00650D98">
            <w:pPr>
              <w:jc w:val="center"/>
              <w:rPr>
                <w:rFonts w:ascii="Arial" w:hAnsi="Arial" w:cs="Arial"/>
              </w:rPr>
            </w:pPr>
            <w:r w:rsidRPr="00D238CA">
              <w:rPr>
                <w:rFonts w:ascii="Arial" w:hAnsi="Arial" w:cs="Arial"/>
              </w:rPr>
              <w:t xml:space="preserve">PT </w:t>
            </w:r>
            <w:r w:rsidRPr="00377F79">
              <w:rPr>
                <w:rFonts w:ascii="Arial" w:hAnsi="Arial" w:cs="Arial"/>
                <w:i/>
              </w:rPr>
              <w:t>Decreased activity</w:t>
            </w:r>
            <w:r w:rsidRPr="00D238CA">
              <w:rPr>
                <w:rFonts w:ascii="Arial" w:hAnsi="Arial" w:cs="Arial"/>
              </w:rPr>
              <w:t xml:space="preserve"> had a primary link to SOC </w:t>
            </w:r>
            <w:r w:rsidRPr="00377F79">
              <w:rPr>
                <w:rFonts w:ascii="Arial" w:hAnsi="Arial" w:cs="Arial"/>
                <w:i/>
              </w:rPr>
              <w:t xml:space="preserve">Psychiatric disorders </w:t>
            </w:r>
            <w:r w:rsidRPr="00D238CA">
              <w:rPr>
                <w:rFonts w:ascii="Arial" w:hAnsi="Arial" w:cs="Arial"/>
              </w:rPr>
              <w:t xml:space="preserve">and a secondary link to SOC </w:t>
            </w:r>
            <w:r w:rsidRPr="00377F79">
              <w:rPr>
                <w:rFonts w:ascii="Arial" w:hAnsi="Arial" w:cs="Arial"/>
                <w:i/>
              </w:rPr>
              <w:t>General disorders and administration site conditions</w:t>
            </w:r>
            <w:r w:rsidRPr="00377F79">
              <w:rPr>
                <w:rFonts w:ascii="Arial" w:hAnsi="Arial" w:cs="Arial"/>
              </w:rPr>
              <w:t xml:space="preserve"> </w:t>
            </w:r>
            <w:r w:rsidRPr="00D238CA">
              <w:rPr>
                <w:rFonts w:ascii="Arial" w:hAnsi="Arial" w:cs="Arial"/>
              </w:rPr>
              <w:t xml:space="preserve">in MedDRA Version </w:t>
            </w:r>
            <w:r w:rsidRPr="00EF69A6">
              <w:rPr>
                <w:rFonts w:ascii="Arial" w:hAnsi="Arial" w:cs="Arial"/>
              </w:rPr>
              <w:t>16.</w:t>
            </w:r>
            <w:r w:rsidRPr="00377F79">
              <w:rPr>
                <w:rFonts w:ascii="Arial" w:hAnsi="Arial" w:cs="Arial"/>
              </w:rPr>
              <w:t>1</w:t>
            </w:r>
            <w:r w:rsidRPr="00D238CA">
              <w:rPr>
                <w:rFonts w:ascii="Arial" w:hAnsi="Arial" w:cs="Arial"/>
              </w:rPr>
              <w:t xml:space="preserve">. </w:t>
            </w:r>
            <w:r w:rsidRPr="00EF69A6">
              <w:rPr>
                <w:rFonts w:ascii="Arial" w:hAnsi="Arial" w:cs="Arial"/>
              </w:rPr>
              <w:t>In Version 1</w:t>
            </w:r>
            <w:r w:rsidRPr="00377F79">
              <w:rPr>
                <w:rFonts w:ascii="Arial" w:hAnsi="Arial" w:cs="Arial"/>
              </w:rPr>
              <w:t>7.0</w:t>
            </w:r>
            <w:r w:rsidRPr="00D238CA">
              <w:rPr>
                <w:rFonts w:ascii="Arial" w:hAnsi="Arial" w:cs="Arial"/>
              </w:rPr>
              <w:t xml:space="preserve">, the primary SOC assignment was changed to SOC </w:t>
            </w:r>
            <w:r w:rsidRPr="00377F79">
              <w:rPr>
                <w:rFonts w:ascii="Arial" w:hAnsi="Arial" w:cs="Arial"/>
                <w:i/>
              </w:rPr>
              <w:t>General disorders and administration site conditions</w:t>
            </w:r>
            <w:r w:rsidRPr="00377F79">
              <w:rPr>
                <w:rFonts w:ascii="Arial" w:hAnsi="Arial" w:cs="Arial"/>
              </w:rPr>
              <w:t xml:space="preserve"> </w:t>
            </w:r>
            <w:r w:rsidRPr="00D238CA">
              <w:rPr>
                <w:rFonts w:ascii="Arial" w:hAnsi="Arial" w:cs="Arial"/>
              </w:rPr>
              <w:t xml:space="preserve">and the secondary assignment to SOC </w:t>
            </w:r>
            <w:r w:rsidRPr="00377F79">
              <w:rPr>
                <w:rFonts w:ascii="Arial" w:hAnsi="Arial" w:cs="Arial"/>
                <w:i/>
              </w:rPr>
              <w:t>Psychiatric disorders</w:t>
            </w:r>
            <w:r w:rsidRPr="00D238CA">
              <w:rPr>
                <w:rFonts w:ascii="Arial" w:hAnsi="Arial" w:cs="Arial"/>
              </w:rPr>
              <w:t xml:space="preserve">. </w:t>
            </w:r>
            <w:r w:rsidRPr="00EF69A6">
              <w:rPr>
                <w:rFonts w:ascii="Arial" w:hAnsi="Arial" w:cs="Arial"/>
              </w:rPr>
              <w:t xml:space="preserve">In a primary SOC output of data, PT </w:t>
            </w:r>
            <w:r w:rsidRPr="00377F79">
              <w:rPr>
                <w:rFonts w:ascii="Arial" w:hAnsi="Arial" w:cs="Arial"/>
                <w:i/>
              </w:rPr>
              <w:t>Decreased activity</w:t>
            </w:r>
            <w:r w:rsidRPr="00D238CA">
              <w:rPr>
                <w:rFonts w:ascii="Arial" w:hAnsi="Arial" w:cs="Arial"/>
              </w:rPr>
              <w:t xml:space="preserve"> </w:t>
            </w:r>
            <w:r w:rsidRPr="00EF69A6">
              <w:rPr>
                <w:rFonts w:ascii="Arial" w:hAnsi="Arial" w:cs="Arial"/>
              </w:rPr>
              <w:t xml:space="preserve">will seem to have “disappeared” from SOC </w:t>
            </w:r>
            <w:r w:rsidRPr="00377F79">
              <w:rPr>
                <w:rFonts w:ascii="Arial" w:hAnsi="Arial" w:cs="Arial"/>
                <w:i/>
              </w:rPr>
              <w:t>Psychiatric disorders</w:t>
            </w:r>
            <w:r w:rsidRPr="00D238CA">
              <w:rPr>
                <w:rFonts w:ascii="Arial" w:hAnsi="Arial" w:cs="Arial"/>
              </w:rPr>
              <w:t>.</w:t>
            </w:r>
          </w:p>
        </w:tc>
      </w:tr>
      <w:bookmarkEnd w:id="4"/>
    </w:tbl>
    <w:p w:rsidR="00535232" w:rsidRDefault="00535232" w:rsidP="00DC1C2F">
      <w:pPr>
        <w:rPr>
          <w:rFonts w:ascii="Arial" w:hAnsi="Arial" w:cs="Arial"/>
          <w:color w:val="17365D" w:themeColor="text2" w:themeShade="BF"/>
        </w:rPr>
      </w:pPr>
    </w:p>
    <w:p w:rsidR="00535232" w:rsidRDefault="00535232" w:rsidP="00535232">
      <w:pPr>
        <w:rPr>
          <w:rFonts w:ascii="Arial" w:hAnsi="Arial" w:cs="Arial"/>
        </w:rPr>
      </w:pPr>
    </w:p>
    <w:p w:rsidR="00535232" w:rsidRPr="000F0B13" w:rsidRDefault="00535232" w:rsidP="00535232">
      <w:pPr>
        <w:rPr>
          <w:rFonts w:ascii="Arial" w:hAnsi="Arial" w:cs="Arial"/>
        </w:rPr>
      </w:pPr>
      <w:r w:rsidRPr="00A21F95">
        <w:rPr>
          <w:rFonts w:ascii="Arial" w:hAnsi="Arial" w:cs="Arial"/>
        </w:rPr>
        <w:t>Were changed as follows:</w:t>
      </w:r>
    </w:p>
    <w:p w:rsidR="00535232" w:rsidRDefault="00535232" w:rsidP="00DC1C2F">
      <w:pPr>
        <w:rPr>
          <w:rFonts w:ascii="Arial" w:hAnsi="Arial" w:cs="Arial"/>
          <w:color w:val="17365D" w:themeColor="text2" w:themeShade="BF"/>
        </w:rPr>
      </w:pPr>
    </w:p>
    <w:p w:rsidR="00535232" w:rsidRPr="00535232" w:rsidRDefault="00535232" w:rsidP="00DC1C2F">
      <w:pPr>
        <w:rPr>
          <w:rFonts w:ascii="Arial" w:hAnsi="Arial" w:cs="Arial"/>
        </w:rPr>
      </w:pPr>
      <w:r w:rsidRPr="00535232">
        <w:rPr>
          <w:rFonts w:ascii="Arial" w:hAnsi="Arial" w:cs="Arial"/>
        </w:rPr>
        <w:t>Example</w:t>
      </w:r>
    </w:p>
    <w:p w:rsidR="00535232" w:rsidRPr="00535232" w:rsidRDefault="00535232" w:rsidP="00DC1C2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35232" w:rsidRPr="00535232">
        <w:trPr>
          <w:tblHeader/>
        </w:trPr>
        <w:tc>
          <w:tcPr>
            <w:tcW w:w="8856" w:type="dxa"/>
            <w:shd w:val="clear" w:color="auto" w:fill="E0E0E0"/>
          </w:tcPr>
          <w:p w:rsidR="00535232" w:rsidRPr="00535232" w:rsidRDefault="00535232" w:rsidP="00650D98">
            <w:pPr>
              <w:spacing w:before="60" w:after="60"/>
              <w:jc w:val="center"/>
              <w:rPr>
                <w:rFonts w:ascii="Arial" w:hAnsi="Arial"/>
                <w:b/>
              </w:rPr>
            </w:pPr>
            <w:r w:rsidRPr="00535232">
              <w:rPr>
                <w:rFonts w:ascii="Arial" w:hAnsi="Arial"/>
                <w:b/>
              </w:rPr>
              <w:t>Impact of Version Changes – Demoted PT</w:t>
            </w:r>
          </w:p>
        </w:tc>
      </w:tr>
      <w:tr w:rsidR="00535232" w:rsidRPr="00535232">
        <w:tc>
          <w:tcPr>
            <w:tcW w:w="8856" w:type="dxa"/>
          </w:tcPr>
          <w:p w:rsidR="00535232" w:rsidRPr="00535232" w:rsidRDefault="00535232" w:rsidP="00650D98">
            <w:pPr>
              <w:spacing w:before="60" w:after="60"/>
              <w:jc w:val="center"/>
              <w:rPr>
                <w:rFonts w:ascii="Arial" w:hAnsi="Arial"/>
              </w:rPr>
            </w:pPr>
            <w:r w:rsidRPr="00535232">
              <w:rPr>
                <w:rFonts w:ascii="Arial" w:hAnsi="Arial"/>
              </w:rPr>
              <w:t xml:space="preserve">PT </w:t>
            </w:r>
            <w:bookmarkStart w:id="5" w:name="OLE_LINK30"/>
            <w:r w:rsidRPr="00535232">
              <w:rPr>
                <w:rFonts w:ascii="Arial" w:hAnsi="Arial"/>
                <w:i/>
              </w:rPr>
              <w:t xml:space="preserve">Chest tube insertion </w:t>
            </w:r>
            <w:bookmarkEnd w:id="5"/>
            <w:r w:rsidRPr="00535232">
              <w:rPr>
                <w:rFonts w:ascii="Arial" w:hAnsi="Arial"/>
              </w:rPr>
              <w:t xml:space="preserve">was included in a query developed using terms in MedDRA Version 17.0. If the query had been re-run on data using MedDRA Version 17.1, these events would not have been found at the PT level because PT </w:t>
            </w:r>
            <w:r w:rsidRPr="00535232">
              <w:rPr>
                <w:rFonts w:ascii="Arial" w:hAnsi="Arial"/>
                <w:i/>
              </w:rPr>
              <w:t xml:space="preserve">Chest tube insertion </w:t>
            </w:r>
            <w:r w:rsidRPr="00535232">
              <w:rPr>
                <w:rFonts w:ascii="Arial" w:hAnsi="Arial"/>
              </w:rPr>
              <w:t xml:space="preserve">had been demoted to an LLT and linked to </w:t>
            </w:r>
            <w:r w:rsidRPr="00535232">
              <w:rPr>
                <w:rFonts w:ascii="Arial" w:hAnsi="Arial"/>
              </w:rPr>
              <w:br/>
              <w:t xml:space="preserve">PT </w:t>
            </w:r>
            <w:bookmarkStart w:id="6" w:name="OLE_LINK7"/>
            <w:r w:rsidRPr="00535232">
              <w:rPr>
                <w:rFonts w:ascii="Arial" w:hAnsi="Arial"/>
                <w:i/>
              </w:rPr>
              <w:t>Thoracostomy</w:t>
            </w:r>
            <w:bookmarkEnd w:id="6"/>
            <w:r w:rsidRPr="00535232">
              <w:rPr>
                <w:rFonts w:ascii="Arial" w:hAnsi="Arial"/>
              </w:rPr>
              <w:t xml:space="preserve">. </w:t>
            </w:r>
          </w:p>
          <w:p w:rsidR="00535232" w:rsidRPr="00535232" w:rsidRDefault="00535232" w:rsidP="00650D98">
            <w:pPr>
              <w:spacing w:before="60" w:after="60"/>
              <w:jc w:val="center"/>
              <w:rPr>
                <w:rFonts w:ascii="Arial" w:hAnsi="Arial"/>
              </w:rPr>
            </w:pPr>
            <w:r w:rsidRPr="00535232">
              <w:rPr>
                <w:rFonts w:ascii="Arial" w:hAnsi="Arial"/>
              </w:rPr>
              <w:t>See Figure 3.</w:t>
            </w:r>
          </w:p>
        </w:tc>
      </w:tr>
    </w:tbl>
    <w:p w:rsidR="00535232" w:rsidRPr="00535232" w:rsidRDefault="00535232" w:rsidP="00DC1C2F">
      <w:pPr>
        <w:rPr>
          <w:rFonts w:ascii="Arial" w:hAnsi="Arial" w:cs="Arial"/>
        </w:rPr>
      </w:pPr>
    </w:p>
    <w:p w:rsidR="00535232" w:rsidRPr="00535232" w:rsidRDefault="00535232" w:rsidP="00DC1C2F">
      <w:pPr>
        <w:rPr>
          <w:rFonts w:ascii="Arial" w:hAnsi="Arial" w:cs="Arial"/>
        </w:rPr>
      </w:pPr>
      <w:r w:rsidRPr="00535232">
        <w:rPr>
          <w:rFonts w:ascii="Arial" w:hAnsi="Arial" w:cs="Arial"/>
        </w:rPr>
        <w:t xml:space="preserve">Example </w:t>
      </w:r>
    </w:p>
    <w:p w:rsidR="00535232" w:rsidRPr="00535232" w:rsidRDefault="00535232" w:rsidP="00DC1C2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35232" w:rsidRPr="00535232">
        <w:trPr>
          <w:tblHeader/>
        </w:trPr>
        <w:tc>
          <w:tcPr>
            <w:tcW w:w="8856" w:type="dxa"/>
            <w:shd w:val="clear" w:color="auto" w:fill="E0E0E0"/>
          </w:tcPr>
          <w:p w:rsidR="00535232" w:rsidRPr="00535232" w:rsidRDefault="00535232" w:rsidP="00650D98">
            <w:pPr>
              <w:spacing w:before="60" w:after="60"/>
              <w:jc w:val="center"/>
              <w:rPr>
                <w:rFonts w:ascii="Arial" w:hAnsi="Arial"/>
                <w:b/>
              </w:rPr>
            </w:pPr>
            <w:r w:rsidRPr="00535232">
              <w:rPr>
                <w:rFonts w:ascii="Arial" w:hAnsi="Arial"/>
                <w:b/>
              </w:rPr>
              <w:t>Impact of Version Changes – Change of Primary SOC Assignment</w:t>
            </w:r>
          </w:p>
        </w:tc>
      </w:tr>
      <w:tr w:rsidR="00535232" w:rsidRPr="00535232">
        <w:tc>
          <w:tcPr>
            <w:tcW w:w="8856" w:type="dxa"/>
          </w:tcPr>
          <w:p w:rsidR="00535232" w:rsidRPr="00535232" w:rsidRDefault="00535232" w:rsidP="00650D98">
            <w:pPr>
              <w:spacing w:before="60" w:after="60"/>
              <w:jc w:val="center"/>
              <w:rPr>
                <w:rFonts w:ascii="Arial" w:hAnsi="Arial"/>
              </w:rPr>
            </w:pPr>
            <w:r w:rsidRPr="00535232">
              <w:rPr>
                <w:rFonts w:ascii="Arial" w:hAnsi="Arial"/>
              </w:rPr>
              <w:t xml:space="preserve">PT </w:t>
            </w:r>
            <w:bookmarkStart w:id="7" w:name="OLE_LINK20"/>
            <w:bookmarkStart w:id="8" w:name="OLE_LINK17"/>
            <w:bookmarkStart w:id="9" w:name="OLE_LINK31"/>
            <w:r w:rsidRPr="00535232">
              <w:rPr>
                <w:rFonts w:ascii="Arial" w:hAnsi="Arial"/>
                <w:i/>
              </w:rPr>
              <w:t>Urinary bladder rupture</w:t>
            </w:r>
            <w:r w:rsidRPr="00535232">
              <w:rPr>
                <w:rFonts w:ascii="Arial" w:hAnsi="Arial"/>
              </w:rPr>
              <w:t xml:space="preserve"> </w:t>
            </w:r>
            <w:bookmarkEnd w:id="7"/>
            <w:bookmarkEnd w:id="8"/>
            <w:bookmarkEnd w:id="9"/>
            <w:r w:rsidRPr="00535232">
              <w:rPr>
                <w:rFonts w:ascii="Arial" w:hAnsi="Arial"/>
              </w:rPr>
              <w:t xml:space="preserve">had a primary link to </w:t>
            </w:r>
            <w:bookmarkStart w:id="10" w:name="OLE_LINK21"/>
            <w:r w:rsidRPr="00535232">
              <w:rPr>
                <w:rFonts w:ascii="Arial" w:hAnsi="Arial"/>
              </w:rPr>
              <w:t xml:space="preserve">SOC </w:t>
            </w:r>
            <w:r w:rsidRPr="00535232">
              <w:rPr>
                <w:rFonts w:ascii="Arial" w:hAnsi="Arial"/>
                <w:i/>
              </w:rPr>
              <w:t xml:space="preserve">Injury, poisoning and procedural complications </w:t>
            </w:r>
            <w:bookmarkEnd w:id="10"/>
            <w:r w:rsidRPr="00535232">
              <w:rPr>
                <w:rFonts w:ascii="Arial" w:hAnsi="Arial"/>
              </w:rPr>
              <w:t xml:space="preserve">and a secondary link to SOC </w:t>
            </w:r>
            <w:bookmarkStart w:id="11" w:name="OLE_LINK15"/>
            <w:r w:rsidRPr="00535232">
              <w:rPr>
                <w:rFonts w:ascii="Arial" w:hAnsi="Arial"/>
                <w:i/>
              </w:rPr>
              <w:t>Renal and urinary disorders</w:t>
            </w:r>
            <w:r w:rsidRPr="00535232">
              <w:rPr>
                <w:rFonts w:ascii="Arial" w:hAnsi="Arial"/>
              </w:rPr>
              <w:t xml:space="preserve"> </w:t>
            </w:r>
            <w:bookmarkEnd w:id="11"/>
            <w:r w:rsidRPr="00535232">
              <w:rPr>
                <w:rFonts w:ascii="Arial" w:hAnsi="Arial"/>
              </w:rPr>
              <w:t xml:space="preserve">in MedDRA Version 17.0. In Version 17.1, the primary SOC assignment was changed to SOC </w:t>
            </w:r>
            <w:r w:rsidRPr="00535232">
              <w:rPr>
                <w:rFonts w:ascii="Arial" w:hAnsi="Arial"/>
                <w:i/>
              </w:rPr>
              <w:t xml:space="preserve">Renal and urinary disorders </w:t>
            </w:r>
            <w:r w:rsidRPr="00535232">
              <w:rPr>
                <w:rFonts w:ascii="Arial" w:hAnsi="Arial"/>
              </w:rPr>
              <w:t xml:space="preserve">and the secondary assignment to SOC </w:t>
            </w:r>
            <w:r w:rsidRPr="00535232">
              <w:rPr>
                <w:rFonts w:ascii="Arial" w:hAnsi="Arial"/>
                <w:i/>
              </w:rPr>
              <w:t>Injury, poisoning and procedural complications</w:t>
            </w:r>
            <w:r w:rsidRPr="00535232">
              <w:rPr>
                <w:rFonts w:ascii="Arial" w:hAnsi="Arial"/>
              </w:rPr>
              <w:t xml:space="preserve">. In a primary SOC output of data, PT </w:t>
            </w:r>
            <w:r w:rsidRPr="00535232">
              <w:rPr>
                <w:rFonts w:ascii="Arial" w:hAnsi="Arial"/>
                <w:i/>
              </w:rPr>
              <w:t>Urinary bladder rupture</w:t>
            </w:r>
            <w:r w:rsidRPr="00535232">
              <w:rPr>
                <w:rFonts w:ascii="Arial" w:hAnsi="Arial"/>
              </w:rPr>
              <w:t xml:space="preserve"> will seem to have “disappeared” from SOC </w:t>
            </w:r>
            <w:r w:rsidRPr="00535232">
              <w:rPr>
                <w:rFonts w:ascii="Arial" w:hAnsi="Arial"/>
                <w:i/>
              </w:rPr>
              <w:t>Injury, poisoning and procedural complications</w:t>
            </w:r>
            <w:r w:rsidRPr="00535232">
              <w:rPr>
                <w:rFonts w:ascii="Arial" w:hAnsi="Arial"/>
              </w:rPr>
              <w:t>.</w:t>
            </w:r>
          </w:p>
        </w:tc>
      </w:tr>
    </w:tbl>
    <w:p w:rsidR="00036B8C" w:rsidRPr="00036B8C" w:rsidRDefault="00036B8C" w:rsidP="008D24AE">
      <w:bookmarkStart w:id="12" w:name="_Toc268589125"/>
    </w:p>
    <w:p w:rsidR="002826AE" w:rsidRPr="00BC6FBF" w:rsidRDefault="00A21F95" w:rsidP="002826AE">
      <w:pPr>
        <w:pStyle w:val="Heading2"/>
        <w:rPr>
          <w:i w:val="0"/>
          <w:sz w:val="24"/>
          <w:szCs w:val="24"/>
        </w:rPr>
      </w:pPr>
      <w:r w:rsidRPr="00A21F95">
        <w:rPr>
          <w:i w:val="0"/>
          <w:sz w:val="24"/>
          <w:szCs w:val="24"/>
        </w:rPr>
        <w:t>4.5 – SMQs and MedDRA Version Changes</w:t>
      </w:r>
      <w:bookmarkEnd w:id="12"/>
    </w:p>
    <w:p w:rsidR="002826AE" w:rsidRPr="00BC6FBF" w:rsidRDefault="002826AE" w:rsidP="002826AE"/>
    <w:p w:rsidR="00956CD6" w:rsidRPr="00BC6FBF" w:rsidRDefault="00A21F95" w:rsidP="00956CD6">
      <w:r w:rsidRPr="00A21F95">
        <w:rPr>
          <w:rFonts w:ascii="Arial" w:hAnsi="Arial" w:cs="Arial"/>
        </w:rPr>
        <w:t>The</w:t>
      </w:r>
      <w:r w:rsidR="00B72B97">
        <w:rPr>
          <w:rFonts w:ascii="Arial" w:hAnsi="Arial" w:cs="Arial"/>
        </w:rPr>
        <w:t xml:space="preserve"> </w:t>
      </w:r>
      <w:r w:rsidRPr="00A21F95">
        <w:rPr>
          <w:rFonts w:ascii="Arial" w:hAnsi="Arial" w:cs="Arial"/>
        </w:rPr>
        <w:t>Example table in this section:</w:t>
      </w:r>
    </w:p>
    <w:p w:rsidR="00147725" w:rsidRDefault="00147725" w:rsidP="00EF69A6">
      <w:pPr>
        <w:rPr>
          <w:rFonts w:ascii="Arial" w:hAnsi="Arial"/>
        </w:rPr>
      </w:pPr>
    </w:p>
    <w:p w:rsidR="00EF69A6" w:rsidRPr="004D72BC" w:rsidRDefault="00EF69A6" w:rsidP="00EF69A6">
      <w:pPr>
        <w:rPr>
          <w:rFonts w:ascii="Arial" w:hAnsi="Arial"/>
        </w:rPr>
      </w:pPr>
      <w:r w:rsidRPr="004D72BC">
        <w:rPr>
          <w:rFonts w:ascii="Arial" w:hAnsi="Arial"/>
        </w:rPr>
        <w:t>Example</w:t>
      </w:r>
    </w:p>
    <w:p w:rsidR="00EF69A6" w:rsidRPr="006E1741" w:rsidRDefault="00EF69A6" w:rsidP="00EF69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F69A6" w:rsidRPr="006E1741">
        <w:trPr>
          <w:tblHeader/>
        </w:trPr>
        <w:tc>
          <w:tcPr>
            <w:tcW w:w="8856" w:type="dxa"/>
            <w:shd w:val="clear" w:color="auto" w:fill="E0E0E0"/>
          </w:tcPr>
          <w:p w:rsidR="00EF69A6" w:rsidRPr="004D72BC" w:rsidRDefault="00EF69A6" w:rsidP="00650D98">
            <w:pPr>
              <w:jc w:val="center"/>
              <w:rPr>
                <w:rFonts w:ascii="Arial" w:hAnsi="Arial"/>
                <w:b/>
              </w:rPr>
            </w:pPr>
            <w:r w:rsidRPr="004D72BC">
              <w:rPr>
                <w:rFonts w:ascii="Arial" w:hAnsi="Arial"/>
                <w:b/>
              </w:rPr>
              <w:t>Consequence of Version Mismatch of Coded Data and SMQ</w:t>
            </w:r>
          </w:p>
        </w:tc>
      </w:tr>
      <w:tr w:rsidR="00EF69A6" w:rsidRPr="006E1741">
        <w:tc>
          <w:tcPr>
            <w:tcW w:w="8856" w:type="dxa"/>
          </w:tcPr>
          <w:p w:rsidR="00EF69A6" w:rsidRPr="00EF69A6" w:rsidRDefault="00EF69A6" w:rsidP="00650D98">
            <w:pPr>
              <w:jc w:val="center"/>
              <w:rPr>
                <w:rFonts w:ascii="Arial" w:hAnsi="Arial" w:cs="Arial"/>
              </w:rPr>
            </w:pPr>
            <w:r w:rsidRPr="00EF69A6">
              <w:rPr>
                <w:rFonts w:ascii="Arial" w:hAnsi="Arial" w:cs="Arial"/>
              </w:rPr>
              <w:t xml:space="preserve">PT </w:t>
            </w:r>
            <w:r w:rsidRPr="00377F79">
              <w:rPr>
                <w:rFonts w:ascii="Arial" w:hAnsi="Arial" w:cs="Arial"/>
                <w:i/>
              </w:rPr>
              <w:t>Splenic artery thrombosis</w:t>
            </w:r>
            <w:r w:rsidRPr="00EF69A6">
              <w:rPr>
                <w:rFonts w:ascii="Arial" w:hAnsi="Arial" w:cs="Arial"/>
              </w:rPr>
              <w:t xml:space="preserve"> was added to SMQ </w:t>
            </w:r>
            <w:r w:rsidRPr="00377F79">
              <w:rPr>
                <w:rFonts w:ascii="Arial" w:hAnsi="Arial" w:cs="Arial"/>
                <w:i/>
              </w:rPr>
              <w:t>Embolic and thrombotic events, arterial</w:t>
            </w:r>
            <w:r w:rsidRPr="00EF69A6">
              <w:rPr>
                <w:rFonts w:ascii="Arial" w:hAnsi="Arial" w:cs="Arial"/>
              </w:rPr>
              <w:t xml:space="preserve"> in MedDRA Version 1</w:t>
            </w:r>
            <w:r w:rsidRPr="00377F79">
              <w:rPr>
                <w:rFonts w:ascii="Arial" w:hAnsi="Arial" w:cs="Arial"/>
              </w:rPr>
              <w:t>7.0</w:t>
            </w:r>
            <w:r w:rsidRPr="00EF69A6">
              <w:rPr>
                <w:rFonts w:ascii="Arial" w:hAnsi="Arial" w:cs="Arial"/>
              </w:rPr>
              <w:t>.  Using Version 16.</w:t>
            </w:r>
            <w:r w:rsidRPr="00377F79">
              <w:rPr>
                <w:rFonts w:ascii="Arial" w:hAnsi="Arial" w:cs="Arial"/>
              </w:rPr>
              <w:t>1</w:t>
            </w:r>
            <w:r w:rsidRPr="00EF69A6">
              <w:rPr>
                <w:rFonts w:ascii="Arial" w:hAnsi="Arial" w:cs="Arial"/>
              </w:rPr>
              <w:t xml:space="preserve"> of this SMQ – which does not contain this PT – would fail to identify cases coded to this term in a database using MedDRA Version 1</w:t>
            </w:r>
            <w:r w:rsidRPr="00377F79">
              <w:rPr>
                <w:rFonts w:ascii="Arial" w:hAnsi="Arial" w:cs="Arial"/>
              </w:rPr>
              <w:t>7.0</w:t>
            </w:r>
            <w:r w:rsidRPr="00EF69A6">
              <w:rPr>
                <w:rFonts w:ascii="Arial" w:hAnsi="Arial" w:cs="Arial"/>
              </w:rPr>
              <w:t>.</w:t>
            </w:r>
          </w:p>
        </w:tc>
      </w:tr>
    </w:tbl>
    <w:p w:rsidR="00650D98" w:rsidRDefault="00650D98" w:rsidP="00650D98">
      <w:pPr>
        <w:rPr>
          <w:rFonts w:ascii="Arial" w:hAnsi="Arial" w:cs="Arial"/>
        </w:rPr>
      </w:pPr>
      <w:bookmarkStart w:id="13" w:name="_Toc55061671"/>
    </w:p>
    <w:p w:rsidR="00650D98" w:rsidRDefault="00650D98" w:rsidP="00650D98">
      <w:pPr>
        <w:rPr>
          <w:rFonts w:ascii="Arial" w:hAnsi="Arial" w:cs="Arial"/>
        </w:rPr>
      </w:pPr>
      <w:r w:rsidRPr="000F0B13">
        <w:rPr>
          <w:rFonts w:ascii="Arial" w:hAnsi="Arial" w:cs="Arial"/>
        </w:rPr>
        <w:t>Was changed as follows:</w:t>
      </w:r>
    </w:p>
    <w:p w:rsidR="00650D98" w:rsidRDefault="00650D98" w:rsidP="00650D98">
      <w:pPr>
        <w:rPr>
          <w:rFonts w:ascii="Arial" w:hAnsi="Arial" w:cs="Arial"/>
        </w:rPr>
      </w:pPr>
    </w:p>
    <w:p w:rsidR="00650D98" w:rsidRDefault="00650D98" w:rsidP="00650D98">
      <w:pPr>
        <w:rPr>
          <w:rFonts w:ascii="Arial" w:hAnsi="Arial" w:cs="Arial"/>
        </w:rPr>
      </w:pPr>
      <w:r>
        <w:rPr>
          <w:rFonts w:ascii="Arial" w:hAnsi="Arial" w:cs="Arial"/>
        </w:rPr>
        <w:t>Example</w:t>
      </w:r>
    </w:p>
    <w:p w:rsidR="00650D98" w:rsidRDefault="00650D98" w:rsidP="00650D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50D98" w:rsidRPr="006E1741">
        <w:trPr>
          <w:tblHeader/>
        </w:trPr>
        <w:tc>
          <w:tcPr>
            <w:tcW w:w="8856" w:type="dxa"/>
            <w:shd w:val="clear" w:color="auto" w:fill="E0E0E0"/>
          </w:tcPr>
          <w:p w:rsidR="00650D98" w:rsidRPr="00650D98" w:rsidRDefault="00650D98" w:rsidP="00650D98">
            <w:pPr>
              <w:spacing w:before="60" w:after="60"/>
              <w:jc w:val="center"/>
              <w:rPr>
                <w:rFonts w:ascii="Arial" w:hAnsi="Arial"/>
                <w:b/>
              </w:rPr>
            </w:pPr>
            <w:r w:rsidRPr="00650D98">
              <w:rPr>
                <w:rFonts w:ascii="Arial" w:hAnsi="Arial"/>
                <w:b/>
              </w:rPr>
              <w:t>Consequence of Version Mismatch of Coded Data and SMQ</w:t>
            </w:r>
          </w:p>
        </w:tc>
      </w:tr>
      <w:tr w:rsidR="00650D98" w:rsidRPr="006E1741">
        <w:tc>
          <w:tcPr>
            <w:tcW w:w="8856" w:type="dxa"/>
          </w:tcPr>
          <w:p w:rsidR="00650D98" w:rsidRPr="00650D98" w:rsidRDefault="00650D98" w:rsidP="00650D98">
            <w:pPr>
              <w:spacing w:before="60" w:after="60"/>
              <w:jc w:val="center"/>
              <w:rPr>
                <w:rFonts w:ascii="Arial" w:hAnsi="Arial"/>
              </w:rPr>
            </w:pPr>
            <w:r w:rsidRPr="00650D98">
              <w:rPr>
                <w:rFonts w:ascii="Arial" w:hAnsi="Arial"/>
              </w:rPr>
              <w:t xml:space="preserve">PT </w:t>
            </w:r>
            <w:r w:rsidRPr="00650D98">
              <w:rPr>
                <w:rFonts w:ascii="Arial" w:hAnsi="Arial"/>
                <w:i/>
              </w:rPr>
              <w:t>Thyrotoxic cardiomyopathy</w:t>
            </w:r>
            <w:r w:rsidRPr="00650D98">
              <w:rPr>
                <w:rFonts w:ascii="Arial" w:hAnsi="Arial"/>
              </w:rPr>
              <w:t xml:space="preserve"> was added to SMQ </w:t>
            </w:r>
            <w:r w:rsidRPr="00650D98">
              <w:rPr>
                <w:rFonts w:ascii="Arial" w:hAnsi="Arial"/>
                <w:i/>
              </w:rPr>
              <w:t>Cardiomyopathy</w:t>
            </w:r>
            <w:r w:rsidRPr="00650D98">
              <w:rPr>
                <w:rFonts w:ascii="Arial" w:hAnsi="Arial"/>
              </w:rPr>
              <w:t xml:space="preserve"> in MedDRA Version 17.1</w:t>
            </w:r>
            <w:r>
              <w:rPr>
                <w:rFonts w:ascii="Arial" w:hAnsi="Arial"/>
              </w:rPr>
              <w:t xml:space="preserve">. </w:t>
            </w:r>
            <w:r w:rsidRPr="00650D98">
              <w:rPr>
                <w:rFonts w:ascii="Arial" w:hAnsi="Arial"/>
              </w:rPr>
              <w:t>Using Version 17.0 of this SMQ – which does not contain this PT – would fail to identify cases coded to this term in a database using MedDRA Version 17.1.</w:t>
            </w:r>
          </w:p>
        </w:tc>
      </w:tr>
    </w:tbl>
    <w:p w:rsidR="00650D98" w:rsidRDefault="00650D98" w:rsidP="00650D98">
      <w:pPr>
        <w:rPr>
          <w:rFonts w:ascii="Arial" w:hAnsi="Arial"/>
        </w:rPr>
      </w:pPr>
    </w:p>
    <w:p w:rsidR="00DC3271" w:rsidRDefault="00DC3271">
      <w:pPr>
        <w:rPr>
          <w:rFonts w:ascii="Arial" w:hAnsi="Arial" w:cs="Arial"/>
          <w:b/>
          <w:bCs/>
          <w:iCs/>
        </w:rPr>
      </w:pPr>
      <w:r>
        <w:rPr>
          <w:i/>
        </w:rPr>
        <w:br w:type="page"/>
      </w:r>
    </w:p>
    <w:p w:rsidR="008F5FED" w:rsidRPr="00F05DF8" w:rsidRDefault="00A21F95" w:rsidP="008F5FED">
      <w:pPr>
        <w:pStyle w:val="Heading2"/>
        <w:rPr>
          <w:i w:val="0"/>
          <w:sz w:val="24"/>
          <w:szCs w:val="24"/>
        </w:rPr>
      </w:pPr>
      <w:proofErr w:type="gramStart"/>
      <w:r w:rsidRPr="00A21F95">
        <w:rPr>
          <w:i w:val="0"/>
          <w:sz w:val="24"/>
          <w:szCs w:val="24"/>
        </w:rPr>
        <w:t>6.2.1  Current</w:t>
      </w:r>
      <w:proofErr w:type="gramEnd"/>
      <w:r w:rsidRPr="00A21F95">
        <w:rPr>
          <w:i w:val="0"/>
          <w:sz w:val="24"/>
          <w:szCs w:val="24"/>
        </w:rPr>
        <w:t xml:space="preserve"> members of the ICH Points to Consider Working Group</w:t>
      </w:r>
    </w:p>
    <w:p w:rsidR="008F5FED" w:rsidRPr="008B0A58" w:rsidRDefault="008F5FED" w:rsidP="008F5FED">
      <w:pPr>
        <w:rPr>
          <w:rFonts w:ascii="Arial" w:hAnsi="Arial" w:cs="Arial"/>
          <w:color w:val="17365D" w:themeColor="text2" w:themeShade="BF"/>
        </w:rPr>
      </w:pPr>
    </w:p>
    <w:p w:rsidR="00423322" w:rsidRDefault="005A676A" w:rsidP="00423322">
      <w:pPr>
        <w:rPr>
          <w:rFonts w:ascii="Arial" w:hAnsi="Arial" w:cs="Arial"/>
        </w:rPr>
      </w:pPr>
      <w:r>
        <w:rPr>
          <w:rFonts w:ascii="Arial" w:hAnsi="Arial" w:cs="Arial"/>
        </w:rPr>
        <w:t>The table of current members was replaced and updated as follows</w:t>
      </w:r>
      <w:r w:rsidR="00423322">
        <w:rPr>
          <w:rFonts w:ascii="Arial" w:hAnsi="Arial" w:cs="Arial"/>
        </w:rPr>
        <w:t>:</w:t>
      </w:r>
    </w:p>
    <w:p w:rsidR="00423322" w:rsidRDefault="00423322" w:rsidP="0042332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50D98" w:rsidRPr="00A66064">
        <w:trPr>
          <w:tblHeader/>
        </w:trPr>
        <w:tc>
          <w:tcPr>
            <w:tcW w:w="4428" w:type="dxa"/>
            <w:shd w:val="clear" w:color="auto" w:fill="E0E0E0"/>
          </w:tcPr>
          <w:p w:rsidR="00650D98" w:rsidRPr="00650D98" w:rsidRDefault="00650D98" w:rsidP="00650D98">
            <w:pPr>
              <w:spacing w:before="60" w:after="60"/>
              <w:jc w:val="center"/>
              <w:rPr>
                <w:rFonts w:ascii="Arial" w:hAnsi="Arial"/>
                <w:b/>
              </w:rPr>
            </w:pPr>
            <w:r w:rsidRPr="00650D98">
              <w:rPr>
                <w:rFonts w:ascii="Arial" w:hAnsi="Arial"/>
                <w:b/>
              </w:rPr>
              <w:t>Affiliation</w:t>
            </w:r>
          </w:p>
        </w:tc>
        <w:tc>
          <w:tcPr>
            <w:tcW w:w="4428" w:type="dxa"/>
            <w:shd w:val="clear" w:color="auto" w:fill="E0E0E0"/>
          </w:tcPr>
          <w:p w:rsidR="00650D98" w:rsidRPr="00650D98" w:rsidRDefault="00650D98" w:rsidP="00650D98">
            <w:pPr>
              <w:spacing w:before="60" w:after="60"/>
              <w:jc w:val="center"/>
              <w:rPr>
                <w:rFonts w:ascii="Arial" w:hAnsi="Arial"/>
                <w:b/>
              </w:rPr>
            </w:pPr>
            <w:r w:rsidRPr="00650D98">
              <w:rPr>
                <w:rFonts w:ascii="Arial" w:hAnsi="Arial"/>
                <w:b/>
              </w:rPr>
              <w:t>Member</w:t>
            </w:r>
          </w:p>
        </w:tc>
      </w:tr>
      <w:tr w:rsidR="00650D98">
        <w:tc>
          <w:tcPr>
            <w:tcW w:w="4428" w:type="dxa"/>
            <w:vMerge w:val="restart"/>
            <w:vAlign w:val="center"/>
          </w:tcPr>
          <w:p w:rsidR="00650D98" w:rsidRPr="00650D98" w:rsidRDefault="00650D98" w:rsidP="00650D98">
            <w:pPr>
              <w:spacing w:before="60" w:after="60"/>
              <w:jc w:val="center"/>
              <w:rPr>
                <w:rFonts w:ascii="Arial" w:hAnsi="Arial"/>
              </w:rPr>
            </w:pPr>
            <w:r w:rsidRPr="00650D98">
              <w:rPr>
                <w:rFonts w:ascii="Arial" w:hAnsi="Arial"/>
              </w:rPr>
              <w:t>Commission of the European Communities</w:t>
            </w: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 xml:space="preserve">Maria Luisa </w:t>
            </w:r>
            <w:proofErr w:type="spellStart"/>
            <w:r w:rsidRPr="00650D98">
              <w:rPr>
                <w:rFonts w:ascii="Arial" w:hAnsi="Arial"/>
              </w:rPr>
              <w:t>Casini</w:t>
            </w:r>
            <w:proofErr w:type="spellEnd"/>
            <w:r w:rsidRPr="00650D98">
              <w:rPr>
                <w:rFonts w:ascii="Arial" w:hAnsi="Arial"/>
              </w:rPr>
              <w:t xml:space="preserve"> </w:t>
            </w:r>
          </w:p>
        </w:tc>
      </w:tr>
      <w:tr w:rsidR="00650D98">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Sarah Vaughan</w:t>
            </w:r>
            <w:r w:rsidRPr="00650D98" w:rsidDel="001740A3">
              <w:rPr>
                <w:rFonts w:ascii="Arial" w:hAnsi="Arial"/>
              </w:rPr>
              <w:t xml:space="preserve"> </w:t>
            </w:r>
          </w:p>
        </w:tc>
      </w:tr>
      <w:tr w:rsidR="00650D98">
        <w:trPr>
          <w:trHeight w:val="322"/>
        </w:trPr>
        <w:tc>
          <w:tcPr>
            <w:tcW w:w="4428" w:type="dxa"/>
            <w:vMerge w:val="restart"/>
            <w:vAlign w:val="center"/>
          </w:tcPr>
          <w:p w:rsidR="00650D98" w:rsidRPr="00650D98" w:rsidRDefault="00650D98" w:rsidP="00650D98">
            <w:pPr>
              <w:spacing w:before="60" w:after="60"/>
              <w:jc w:val="center"/>
              <w:rPr>
                <w:rFonts w:ascii="Arial" w:hAnsi="Arial"/>
              </w:rPr>
            </w:pPr>
            <w:r w:rsidRPr="00650D98">
              <w:rPr>
                <w:rFonts w:ascii="Arial" w:hAnsi="Arial"/>
              </w:rPr>
              <w:t>European Federation of Pharmaceutical Industries and Associations</w:t>
            </w: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Hilary Vass*</w:t>
            </w:r>
          </w:p>
        </w:tc>
      </w:tr>
      <w:tr w:rsidR="00650D98">
        <w:trPr>
          <w:trHeight w:val="385"/>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Christina Winter</w:t>
            </w:r>
            <w:r w:rsidRPr="00650D98">
              <w:rPr>
                <w:rFonts w:ascii="Arial" w:hAnsi="Arial"/>
                <w:vertAlign w:val="superscript"/>
              </w:rPr>
              <w:t>†</w:t>
            </w:r>
          </w:p>
        </w:tc>
      </w:tr>
      <w:tr w:rsidR="00650D98">
        <w:trPr>
          <w:trHeight w:val="475"/>
        </w:trPr>
        <w:tc>
          <w:tcPr>
            <w:tcW w:w="4428" w:type="dxa"/>
            <w:vMerge w:val="restart"/>
            <w:vAlign w:val="center"/>
          </w:tcPr>
          <w:p w:rsidR="00650D98" w:rsidRPr="00650D98" w:rsidRDefault="00650D98" w:rsidP="00650D98">
            <w:pPr>
              <w:spacing w:before="60" w:after="60"/>
              <w:jc w:val="center"/>
              <w:rPr>
                <w:rFonts w:ascii="Arial" w:hAnsi="Arial"/>
              </w:rPr>
            </w:pPr>
            <w:r w:rsidRPr="00650D98">
              <w:rPr>
                <w:rFonts w:ascii="Arial" w:hAnsi="Arial"/>
              </w:rPr>
              <w:t>Health Canada</w:t>
            </w:r>
          </w:p>
        </w:tc>
        <w:tc>
          <w:tcPr>
            <w:tcW w:w="4428" w:type="dxa"/>
            <w:vAlign w:val="center"/>
          </w:tcPr>
          <w:p w:rsidR="00650D98" w:rsidRPr="00650D98" w:rsidRDefault="00650D98" w:rsidP="00650D98">
            <w:pPr>
              <w:spacing w:before="60" w:after="60"/>
              <w:jc w:val="center"/>
              <w:rPr>
                <w:rFonts w:ascii="Arial" w:hAnsi="Arial"/>
              </w:rPr>
            </w:pPr>
            <w:proofErr w:type="spellStart"/>
            <w:r w:rsidRPr="00650D98">
              <w:rPr>
                <w:rFonts w:ascii="Arial" w:hAnsi="Arial"/>
              </w:rPr>
              <w:t>Polina</w:t>
            </w:r>
            <w:proofErr w:type="spellEnd"/>
            <w:r w:rsidRPr="00650D98">
              <w:rPr>
                <w:rFonts w:ascii="Arial" w:hAnsi="Arial"/>
              </w:rPr>
              <w:t xml:space="preserve"> </w:t>
            </w:r>
            <w:proofErr w:type="spellStart"/>
            <w:r w:rsidRPr="00650D98">
              <w:rPr>
                <w:rFonts w:ascii="Arial" w:hAnsi="Arial"/>
              </w:rPr>
              <w:t>Ostrovsky</w:t>
            </w:r>
            <w:proofErr w:type="spellEnd"/>
          </w:p>
        </w:tc>
      </w:tr>
      <w:tr w:rsidR="00650D98">
        <w:trPr>
          <w:trHeight w:val="475"/>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Lynn Macdonald</w:t>
            </w:r>
          </w:p>
        </w:tc>
      </w:tr>
      <w:tr w:rsidR="00650D98">
        <w:trPr>
          <w:trHeight w:val="132"/>
        </w:trPr>
        <w:tc>
          <w:tcPr>
            <w:tcW w:w="4428" w:type="dxa"/>
            <w:vMerge w:val="restart"/>
            <w:vAlign w:val="center"/>
          </w:tcPr>
          <w:p w:rsidR="00650D98" w:rsidRPr="00650D98" w:rsidRDefault="00650D98" w:rsidP="00650D98">
            <w:pPr>
              <w:spacing w:before="60" w:after="60"/>
              <w:jc w:val="center"/>
              <w:rPr>
                <w:rFonts w:ascii="Arial" w:hAnsi="Arial"/>
              </w:rPr>
            </w:pPr>
            <w:bookmarkStart w:id="14" w:name="OLE_LINK22"/>
            <w:r w:rsidRPr="00650D98">
              <w:rPr>
                <w:rFonts w:ascii="Arial" w:hAnsi="Arial"/>
              </w:rPr>
              <w:t>Japanese Maintenance Organization</w:t>
            </w:r>
            <w:bookmarkEnd w:id="14"/>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Yutaka Nagao</w:t>
            </w:r>
          </w:p>
        </w:tc>
      </w:tr>
      <w:tr w:rsidR="00650D98">
        <w:trPr>
          <w:trHeight w:val="132"/>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 xml:space="preserve">Kazuyuki </w:t>
            </w:r>
            <w:proofErr w:type="spellStart"/>
            <w:r w:rsidRPr="00650D98">
              <w:rPr>
                <w:rFonts w:ascii="Arial" w:hAnsi="Arial"/>
              </w:rPr>
              <w:t>Sekiguchi</w:t>
            </w:r>
            <w:proofErr w:type="spellEnd"/>
          </w:p>
        </w:tc>
      </w:tr>
      <w:tr w:rsidR="00650D98">
        <w:trPr>
          <w:trHeight w:val="132"/>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eastAsia="Calibri" w:hAnsi="Arial"/>
                <w:szCs w:val="21"/>
              </w:rPr>
            </w:pPr>
            <w:r w:rsidRPr="00650D98">
              <w:rPr>
                <w:rFonts w:ascii="Arial" w:eastAsia="Calibri" w:hAnsi="Arial"/>
                <w:szCs w:val="21"/>
              </w:rPr>
              <w:t>Mitsuru Takano</w:t>
            </w:r>
          </w:p>
        </w:tc>
      </w:tr>
      <w:tr w:rsidR="00650D98">
        <w:trPr>
          <w:trHeight w:val="132"/>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Del="00FE2DA6" w:rsidRDefault="00650D98" w:rsidP="00650D98">
            <w:pPr>
              <w:spacing w:before="60" w:after="60"/>
              <w:jc w:val="center"/>
              <w:rPr>
                <w:rFonts w:ascii="Arial" w:hAnsi="Arial"/>
              </w:rPr>
            </w:pPr>
            <w:r w:rsidRPr="00650D98">
              <w:rPr>
                <w:rFonts w:ascii="Arial" w:eastAsia="Calibri" w:hAnsi="Arial"/>
                <w:szCs w:val="21"/>
              </w:rPr>
              <w:t xml:space="preserve">Reiji </w:t>
            </w:r>
            <w:proofErr w:type="spellStart"/>
            <w:r w:rsidRPr="00650D98">
              <w:rPr>
                <w:rFonts w:ascii="Arial" w:eastAsia="Calibri" w:hAnsi="Arial"/>
                <w:szCs w:val="21"/>
              </w:rPr>
              <w:t>Tezuka</w:t>
            </w:r>
            <w:proofErr w:type="spellEnd"/>
          </w:p>
        </w:tc>
      </w:tr>
      <w:tr w:rsidR="00650D98">
        <w:tc>
          <w:tcPr>
            <w:tcW w:w="4428" w:type="dxa"/>
            <w:vMerge w:val="restart"/>
            <w:vAlign w:val="center"/>
          </w:tcPr>
          <w:p w:rsidR="00650D98" w:rsidRPr="00650D98" w:rsidRDefault="00650D98" w:rsidP="00650D98">
            <w:pPr>
              <w:spacing w:before="60" w:after="60"/>
              <w:jc w:val="center"/>
              <w:rPr>
                <w:rFonts w:ascii="Arial" w:hAnsi="Arial"/>
              </w:rPr>
            </w:pPr>
            <w:r w:rsidRPr="00650D98">
              <w:rPr>
                <w:rFonts w:ascii="Arial" w:hAnsi="Arial"/>
              </w:rPr>
              <w:t>Japan Pharmaceutical Manufacturers Association</w:t>
            </w:r>
          </w:p>
        </w:tc>
        <w:tc>
          <w:tcPr>
            <w:tcW w:w="4428" w:type="dxa"/>
            <w:vAlign w:val="center"/>
          </w:tcPr>
          <w:p w:rsidR="00650D98" w:rsidRPr="00650D98" w:rsidRDefault="00650D98" w:rsidP="00650D98">
            <w:pPr>
              <w:spacing w:before="60" w:after="60"/>
              <w:jc w:val="center"/>
              <w:rPr>
                <w:rFonts w:ascii="Arial" w:hAnsi="Arial"/>
              </w:rPr>
            </w:pPr>
            <w:proofErr w:type="spellStart"/>
            <w:r w:rsidRPr="00650D98">
              <w:rPr>
                <w:rFonts w:ascii="Arial" w:hAnsi="Arial"/>
              </w:rPr>
              <w:t>Yo</w:t>
            </w:r>
            <w:proofErr w:type="spellEnd"/>
            <w:r w:rsidRPr="00650D98">
              <w:rPr>
                <w:rFonts w:ascii="Arial" w:hAnsi="Arial"/>
              </w:rPr>
              <w:t xml:space="preserve"> Tanaka</w:t>
            </w:r>
          </w:p>
        </w:tc>
      </w:tr>
      <w:tr w:rsidR="00650D98">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proofErr w:type="spellStart"/>
            <w:r w:rsidRPr="00650D98">
              <w:rPr>
                <w:rFonts w:ascii="Arial" w:hAnsi="Arial"/>
              </w:rPr>
              <w:t>Hitomi</w:t>
            </w:r>
            <w:proofErr w:type="spellEnd"/>
            <w:r w:rsidRPr="00650D98">
              <w:rPr>
                <w:rFonts w:ascii="Arial" w:hAnsi="Arial"/>
              </w:rPr>
              <w:t xml:space="preserve"> </w:t>
            </w:r>
            <w:proofErr w:type="spellStart"/>
            <w:r w:rsidRPr="00650D98">
              <w:rPr>
                <w:rFonts w:ascii="Arial" w:hAnsi="Arial"/>
              </w:rPr>
              <w:t>Takeshita</w:t>
            </w:r>
            <w:proofErr w:type="spellEnd"/>
          </w:p>
        </w:tc>
      </w:tr>
      <w:tr w:rsidR="00650D98">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MedDRA MSSO</w:t>
            </w: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Judy Harrison</w:t>
            </w:r>
          </w:p>
        </w:tc>
      </w:tr>
      <w:tr w:rsidR="00650D98">
        <w:tc>
          <w:tcPr>
            <w:tcW w:w="4428" w:type="dxa"/>
            <w:vMerge w:val="restart"/>
            <w:vAlign w:val="center"/>
          </w:tcPr>
          <w:p w:rsidR="00650D98" w:rsidRPr="00650D98" w:rsidRDefault="00650D98" w:rsidP="00650D98">
            <w:pPr>
              <w:spacing w:before="60" w:after="60"/>
              <w:jc w:val="center"/>
              <w:rPr>
                <w:rFonts w:ascii="Arial" w:hAnsi="Arial"/>
              </w:rPr>
            </w:pPr>
            <w:r w:rsidRPr="00650D98">
              <w:rPr>
                <w:rFonts w:ascii="Arial" w:hAnsi="Arial"/>
              </w:rPr>
              <w:t xml:space="preserve">Ministry of Health, </w:t>
            </w:r>
            <w:proofErr w:type="spellStart"/>
            <w:r w:rsidRPr="00650D98">
              <w:rPr>
                <w:rFonts w:ascii="Arial" w:hAnsi="Arial"/>
              </w:rPr>
              <w:t>Labour</w:t>
            </w:r>
            <w:proofErr w:type="spellEnd"/>
            <w:r w:rsidRPr="00650D98">
              <w:rPr>
                <w:rFonts w:ascii="Arial" w:hAnsi="Arial"/>
              </w:rPr>
              <w:t xml:space="preserve"> and Welfare</w:t>
            </w:r>
            <w:r w:rsidRPr="00650D98">
              <w:rPr>
                <w:rFonts w:ascii="Arial" w:hAnsi="Arial"/>
                <w:lang w:eastAsia="ja-JP"/>
              </w:rPr>
              <w:t>/Pharmaceuticals and Medical Devices Agency</w:t>
            </w:r>
          </w:p>
        </w:tc>
        <w:tc>
          <w:tcPr>
            <w:tcW w:w="4428" w:type="dxa"/>
            <w:vAlign w:val="center"/>
          </w:tcPr>
          <w:p w:rsidR="00650D98" w:rsidRPr="00650D98" w:rsidRDefault="00650D98" w:rsidP="00650D98">
            <w:pPr>
              <w:spacing w:before="60" w:after="60"/>
              <w:jc w:val="center"/>
              <w:rPr>
                <w:rFonts w:ascii="Arial" w:hAnsi="Arial"/>
              </w:rPr>
            </w:pPr>
            <w:bookmarkStart w:id="15" w:name="OLE_LINK13"/>
            <w:r w:rsidRPr="00650D98">
              <w:rPr>
                <w:rFonts w:ascii="Arial" w:hAnsi="Arial"/>
                <w:bCs/>
                <w:noProof/>
              </w:rPr>
              <w:t>Yuhei Fukuta</w:t>
            </w:r>
            <w:r w:rsidRPr="00650D98" w:rsidDel="00BD09D3">
              <w:rPr>
                <w:rFonts w:ascii="Arial" w:hAnsi="Arial"/>
                <w:bCs/>
                <w:color w:val="000000"/>
              </w:rPr>
              <w:t xml:space="preserve"> </w:t>
            </w:r>
            <w:bookmarkEnd w:id="15"/>
          </w:p>
        </w:tc>
      </w:tr>
      <w:tr w:rsidR="00650D98">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bCs/>
                <w:color w:val="000000"/>
              </w:rPr>
              <w:t xml:space="preserve">Miki </w:t>
            </w:r>
            <w:proofErr w:type="spellStart"/>
            <w:r w:rsidRPr="00650D98">
              <w:rPr>
                <w:rFonts w:ascii="Arial" w:hAnsi="Arial"/>
                <w:bCs/>
                <w:color w:val="000000"/>
              </w:rPr>
              <w:t>Ohta</w:t>
            </w:r>
            <w:proofErr w:type="spellEnd"/>
            <w:r w:rsidRPr="00650D98">
              <w:rPr>
                <w:rFonts w:ascii="Arial" w:hAnsi="Arial"/>
                <w:bCs/>
                <w:color w:val="000000"/>
              </w:rPr>
              <w:t xml:space="preserve"> </w:t>
            </w:r>
          </w:p>
        </w:tc>
      </w:tr>
      <w:tr w:rsidR="00650D98">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bookmarkStart w:id="16" w:name="OLE_LINK14"/>
            <w:r w:rsidRPr="00650D98">
              <w:rPr>
                <w:rFonts w:ascii="Arial" w:hAnsi="Arial"/>
                <w:bCs/>
                <w:noProof/>
              </w:rPr>
              <w:t>Daisuke Sato</w:t>
            </w:r>
            <w:bookmarkEnd w:id="16"/>
          </w:p>
        </w:tc>
      </w:tr>
      <w:tr w:rsidR="00650D98">
        <w:trPr>
          <w:trHeight w:val="323"/>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bCs/>
              </w:rPr>
            </w:pPr>
            <w:r w:rsidRPr="00650D98">
              <w:rPr>
                <w:rFonts w:ascii="Arial" w:hAnsi="Arial"/>
                <w:bCs/>
                <w:noProof/>
                <w:lang w:val="en-GB"/>
              </w:rPr>
              <w:t>Makiko Isozaki</w:t>
            </w:r>
          </w:p>
        </w:tc>
      </w:tr>
      <w:tr w:rsidR="00650D98">
        <w:trPr>
          <w:trHeight w:val="323"/>
        </w:trPr>
        <w:tc>
          <w:tcPr>
            <w:tcW w:w="4428" w:type="dxa"/>
            <w:vMerge w:val="restart"/>
            <w:vAlign w:val="center"/>
          </w:tcPr>
          <w:p w:rsidR="00650D98" w:rsidRPr="00650D98" w:rsidRDefault="00650D98" w:rsidP="00650D98">
            <w:pPr>
              <w:spacing w:before="60" w:after="60"/>
              <w:jc w:val="center"/>
              <w:rPr>
                <w:rFonts w:ascii="Arial" w:hAnsi="Arial"/>
              </w:rPr>
            </w:pPr>
            <w:r w:rsidRPr="00650D98">
              <w:rPr>
                <w:rFonts w:ascii="Arial" w:hAnsi="Arial"/>
              </w:rPr>
              <w:t>Pharmaceutical Research and Manufacturers of America</w:t>
            </w:r>
          </w:p>
        </w:tc>
        <w:tc>
          <w:tcPr>
            <w:tcW w:w="4428" w:type="dxa"/>
            <w:vAlign w:val="center"/>
          </w:tcPr>
          <w:p w:rsidR="00650D98" w:rsidRPr="00650D98" w:rsidRDefault="00650D98" w:rsidP="00650D98">
            <w:pPr>
              <w:spacing w:before="60" w:after="60"/>
              <w:jc w:val="center"/>
              <w:rPr>
                <w:rFonts w:ascii="Arial" w:hAnsi="Arial"/>
              </w:rPr>
            </w:pPr>
            <w:proofErr w:type="spellStart"/>
            <w:r w:rsidRPr="00650D98">
              <w:rPr>
                <w:rFonts w:ascii="Arial" w:hAnsi="Arial"/>
                <w:bCs/>
              </w:rPr>
              <w:t>Milbhor</w:t>
            </w:r>
            <w:proofErr w:type="spellEnd"/>
            <w:r w:rsidRPr="00650D98">
              <w:rPr>
                <w:rFonts w:ascii="Arial" w:hAnsi="Arial"/>
                <w:bCs/>
              </w:rPr>
              <w:t xml:space="preserve"> </w:t>
            </w:r>
            <w:proofErr w:type="spellStart"/>
            <w:r w:rsidRPr="00650D98">
              <w:rPr>
                <w:rFonts w:ascii="Arial" w:hAnsi="Arial"/>
                <w:bCs/>
              </w:rPr>
              <w:t>D’Silva</w:t>
            </w:r>
            <w:proofErr w:type="spellEnd"/>
          </w:p>
        </w:tc>
      </w:tr>
      <w:tr w:rsidR="00650D98">
        <w:trPr>
          <w:trHeight w:val="323"/>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proofErr w:type="spellStart"/>
            <w:r w:rsidRPr="00650D98">
              <w:rPr>
                <w:rFonts w:ascii="Arial" w:hAnsi="Arial"/>
              </w:rPr>
              <w:t>JoAnn</w:t>
            </w:r>
            <w:proofErr w:type="spellEnd"/>
            <w:r w:rsidRPr="00650D98">
              <w:rPr>
                <w:rFonts w:ascii="Arial" w:hAnsi="Arial"/>
              </w:rPr>
              <w:t xml:space="preserve"> </w:t>
            </w:r>
            <w:proofErr w:type="spellStart"/>
            <w:r w:rsidRPr="00650D98">
              <w:rPr>
                <w:rFonts w:ascii="Arial" w:hAnsi="Arial"/>
              </w:rPr>
              <w:t>Medbery</w:t>
            </w:r>
            <w:proofErr w:type="spellEnd"/>
          </w:p>
        </w:tc>
      </w:tr>
      <w:tr w:rsidR="00650D98">
        <w:trPr>
          <w:trHeight w:val="439"/>
        </w:trPr>
        <w:tc>
          <w:tcPr>
            <w:tcW w:w="4428" w:type="dxa"/>
            <w:vMerge w:val="restart"/>
            <w:vAlign w:val="center"/>
          </w:tcPr>
          <w:p w:rsidR="00650D98" w:rsidRPr="00650D98" w:rsidRDefault="00650D98" w:rsidP="00650D98">
            <w:pPr>
              <w:spacing w:before="60" w:after="60"/>
              <w:jc w:val="center"/>
              <w:rPr>
                <w:rFonts w:ascii="Arial" w:hAnsi="Arial"/>
              </w:rPr>
            </w:pPr>
            <w:r w:rsidRPr="00650D98">
              <w:rPr>
                <w:rFonts w:ascii="Arial" w:hAnsi="Arial"/>
              </w:rPr>
              <w:t>US Food and Drug Administration</w:t>
            </w:r>
          </w:p>
        </w:tc>
        <w:tc>
          <w:tcPr>
            <w:tcW w:w="4428" w:type="dxa"/>
            <w:vAlign w:val="center"/>
          </w:tcPr>
          <w:p w:rsidR="00650D98" w:rsidRPr="00650D98" w:rsidRDefault="00650D98" w:rsidP="00650D98">
            <w:pPr>
              <w:spacing w:before="60" w:after="60"/>
              <w:jc w:val="center"/>
              <w:rPr>
                <w:rFonts w:ascii="Arial" w:hAnsi="Arial"/>
              </w:rPr>
            </w:pPr>
            <w:bookmarkStart w:id="17" w:name="OLE_LINK12"/>
            <w:r w:rsidRPr="00650D98">
              <w:rPr>
                <w:rFonts w:ascii="Arial" w:hAnsi="Arial"/>
              </w:rPr>
              <w:t xml:space="preserve">Sonja </w:t>
            </w:r>
            <w:proofErr w:type="spellStart"/>
            <w:r w:rsidRPr="00650D98">
              <w:rPr>
                <w:rFonts w:ascii="Arial" w:hAnsi="Arial"/>
              </w:rPr>
              <w:t>Brajovic</w:t>
            </w:r>
            <w:bookmarkEnd w:id="17"/>
            <w:proofErr w:type="spellEnd"/>
            <w:r w:rsidRPr="00650D98">
              <w:rPr>
                <w:rFonts w:ascii="Arial" w:hAnsi="Arial"/>
                <w:vertAlign w:val="superscript"/>
              </w:rPr>
              <w:t>#</w:t>
            </w:r>
          </w:p>
        </w:tc>
      </w:tr>
      <w:tr w:rsidR="00650D98">
        <w:trPr>
          <w:trHeight w:val="449"/>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bookmarkStart w:id="18" w:name="OLE_LINK8"/>
            <w:r w:rsidRPr="00650D98">
              <w:rPr>
                <w:rFonts w:ascii="Arial" w:hAnsi="Arial"/>
              </w:rPr>
              <w:t xml:space="preserve">Christopher </w:t>
            </w:r>
            <w:proofErr w:type="spellStart"/>
            <w:r w:rsidRPr="00650D98">
              <w:rPr>
                <w:rFonts w:ascii="Arial" w:hAnsi="Arial"/>
              </w:rPr>
              <w:t>Breder</w:t>
            </w:r>
            <w:bookmarkEnd w:id="18"/>
            <w:proofErr w:type="spellEnd"/>
          </w:p>
        </w:tc>
      </w:tr>
      <w:tr w:rsidR="00650D98">
        <w:trPr>
          <w:trHeight w:val="449"/>
        </w:trPr>
        <w:tc>
          <w:tcPr>
            <w:tcW w:w="4428" w:type="dxa"/>
            <w:vMerge w:val="restart"/>
            <w:vAlign w:val="center"/>
          </w:tcPr>
          <w:p w:rsidR="00650D98" w:rsidRPr="00650D98" w:rsidRDefault="00650D98" w:rsidP="00650D98">
            <w:pPr>
              <w:spacing w:before="60" w:after="60"/>
              <w:jc w:val="center"/>
              <w:rPr>
                <w:rFonts w:ascii="Arial" w:hAnsi="Arial"/>
              </w:rPr>
            </w:pPr>
            <w:r w:rsidRPr="00650D98">
              <w:rPr>
                <w:rFonts w:ascii="Arial" w:hAnsi="Arial"/>
              </w:rPr>
              <w:t>Ministry of Food and Drug Safety, Korea</w:t>
            </w:r>
          </w:p>
        </w:tc>
        <w:tc>
          <w:tcPr>
            <w:tcW w:w="4428" w:type="dxa"/>
            <w:vAlign w:val="center"/>
          </w:tcPr>
          <w:p w:rsidR="00650D98" w:rsidRPr="00650D98" w:rsidRDefault="00650D98" w:rsidP="00650D98">
            <w:pPr>
              <w:spacing w:before="60" w:after="60"/>
              <w:jc w:val="center"/>
              <w:rPr>
                <w:rFonts w:ascii="Arial" w:hAnsi="Arial"/>
              </w:rPr>
            </w:pPr>
            <w:proofErr w:type="spellStart"/>
            <w:r w:rsidRPr="00650D98">
              <w:rPr>
                <w:rFonts w:ascii="Arial" w:hAnsi="Arial"/>
              </w:rPr>
              <w:t>YuBin</w:t>
            </w:r>
            <w:proofErr w:type="spellEnd"/>
            <w:r w:rsidRPr="00650D98">
              <w:rPr>
                <w:rFonts w:ascii="Arial" w:hAnsi="Arial"/>
              </w:rPr>
              <w:t xml:space="preserve"> Lee</w:t>
            </w:r>
          </w:p>
        </w:tc>
      </w:tr>
      <w:tr w:rsidR="00650D98">
        <w:trPr>
          <w:trHeight w:val="449"/>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Kyung-</w:t>
            </w:r>
            <w:proofErr w:type="spellStart"/>
            <w:r w:rsidRPr="00650D98">
              <w:rPr>
                <w:rFonts w:ascii="Arial" w:hAnsi="Arial"/>
              </w:rPr>
              <w:t>Eun</w:t>
            </w:r>
            <w:proofErr w:type="spellEnd"/>
            <w:r w:rsidRPr="00650D98">
              <w:rPr>
                <w:rFonts w:ascii="Arial" w:hAnsi="Arial"/>
              </w:rPr>
              <w:t xml:space="preserve"> Yoon</w:t>
            </w:r>
          </w:p>
        </w:tc>
      </w:tr>
    </w:tbl>
    <w:p w:rsidR="00B72B2D" w:rsidRDefault="00B72B2D" w:rsidP="00B72B2D">
      <w:pPr>
        <w:rPr>
          <w:rFonts w:ascii="Arial" w:hAnsi="Arial" w:cs="Arial"/>
        </w:rPr>
      </w:pPr>
    </w:p>
    <w:p w:rsidR="00B72B2D" w:rsidRPr="00377F79" w:rsidRDefault="00B72B2D" w:rsidP="00B72B2D">
      <w:pPr>
        <w:rPr>
          <w:rFonts w:ascii="Arial" w:hAnsi="Arial" w:cs="Arial"/>
        </w:rPr>
      </w:pPr>
      <w:r w:rsidRPr="00377F79">
        <w:rPr>
          <w:rFonts w:ascii="Arial" w:hAnsi="Arial" w:cs="Arial"/>
        </w:rPr>
        <w:t>*   Current Rapporteur</w:t>
      </w:r>
    </w:p>
    <w:p w:rsidR="00B72B2D" w:rsidRPr="00377F79" w:rsidRDefault="00B72B2D" w:rsidP="00B72B2D">
      <w:pPr>
        <w:rPr>
          <w:rFonts w:ascii="Arial" w:hAnsi="Arial" w:cs="Arial"/>
        </w:rPr>
      </w:pPr>
      <w:r w:rsidRPr="00377F79">
        <w:rPr>
          <w:rFonts w:ascii="Arial" w:hAnsi="Arial" w:cs="Arial"/>
          <w:vertAlign w:val="superscript"/>
        </w:rPr>
        <w:t>#</w:t>
      </w:r>
      <w:r w:rsidRPr="00377F79">
        <w:rPr>
          <w:rFonts w:ascii="Arial" w:hAnsi="Arial" w:cs="Arial"/>
        </w:rPr>
        <w:t xml:space="preserve">   Regulatory Chair</w:t>
      </w:r>
    </w:p>
    <w:p w:rsidR="00B72B2D" w:rsidRDefault="00B72B2D" w:rsidP="00B72B2D">
      <w:r w:rsidRPr="00377F79">
        <w:rPr>
          <w:rFonts w:ascii="Arial" w:hAnsi="Arial" w:cs="Arial"/>
          <w:vertAlign w:val="superscript"/>
        </w:rPr>
        <w:t>†</w:t>
      </w:r>
      <w:r w:rsidRPr="00377F79">
        <w:rPr>
          <w:rFonts w:ascii="Arial" w:hAnsi="Arial" w:cs="Arial"/>
        </w:rPr>
        <w:t xml:space="preserve">   Former Rapporteur</w:t>
      </w:r>
    </w:p>
    <w:p w:rsidR="00DC3271" w:rsidRDefault="00DC3271" w:rsidP="00650D98">
      <w:pPr>
        <w:rPr>
          <w:rFonts w:ascii="Arial" w:hAnsi="Arial" w:cs="Arial"/>
        </w:rPr>
      </w:pPr>
      <w:bookmarkStart w:id="19" w:name="_Toc364332079"/>
      <w:bookmarkEnd w:id="13"/>
    </w:p>
    <w:p w:rsidR="00725F44" w:rsidRPr="00725F44" w:rsidRDefault="00725F44" w:rsidP="00650D98">
      <w:pPr>
        <w:rPr>
          <w:rFonts w:ascii="Arial" w:hAnsi="Arial"/>
          <w:b/>
          <w:bCs/>
          <w:szCs w:val="26"/>
        </w:rPr>
      </w:pPr>
      <w:r w:rsidRPr="00725F44">
        <w:rPr>
          <w:rFonts w:ascii="Arial" w:hAnsi="Arial"/>
          <w:b/>
          <w:bCs/>
          <w:szCs w:val="26"/>
        </w:rPr>
        <w:t>6.2.2</w:t>
      </w:r>
      <w:r w:rsidRPr="00725F44">
        <w:rPr>
          <w:rFonts w:ascii="Arial" w:hAnsi="Arial"/>
          <w:b/>
          <w:bCs/>
          <w:szCs w:val="26"/>
        </w:rPr>
        <w:tab/>
        <w:t>Former members of the ICH Points to Consider Working Group</w:t>
      </w:r>
      <w:bookmarkEnd w:id="19"/>
    </w:p>
    <w:p w:rsidR="00423322" w:rsidRDefault="00423322" w:rsidP="00E15710">
      <w:pPr>
        <w:rPr>
          <w:rFonts w:ascii="Arial" w:hAnsi="Arial" w:cs="Arial"/>
          <w:color w:val="17365D" w:themeColor="text2" w:themeShade="BF"/>
        </w:rPr>
      </w:pPr>
    </w:p>
    <w:p w:rsidR="00725F44" w:rsidRDefault="00725F44" w:rsidP="00725F44">
      <w:pPr>
        <w:rPr>
          <w:rFonts w:ascii="Arial" w:hAnsi="Arial" w:cs="Arial"/>
        </w:rPr>
      </w:pPr>
      <w:r>
        <w:rPr>
          <w:rFonts w:ascii="Arial" w:hAnsi="Arial" w:cs="Arial"/>
        </w:rPr>
        <w:t>The table of former members was replaced and updated as follows:</w:t>
      </w:r>
    </w:p>
    <w:p w:rsidR="00725F44" w:rsidRDefault="00725F44" w:rsidP="00E15710">
      <w:pPr>
        <w:rPr>
          <w:rFonts w:ascii="Arial" w:hAnsi="Arial" w:cs="Arial"/>
          <w:color w:val="17365D" w:themeColor="text2" w:themeShade="B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50D98" w:rsidRPr="00D43539">
        <w:trPr>
          <w:tblHeader/>
        </w:trPr>
        <w:tc>
          <w:tcPr>
            <w:tcW w:w="4428" w:type="dxa"/>
            <w:shd w:val="clear" w:color="auto" w:fill="E0E0E0"/>
          </w:tcPr>
          <w:p w:rsidR="00650D98" w:rsidRPr="00650D98" w:rsidRDefault="00650D98" w:rsidP="00650D98">
            <w:pPr>
              <w:spacing w:before="60" w:after="60"/>
              <w:jc w:val="center"/>
              <w:rPr>
                <w:rFonts w:ascii="Arial" w:hAnsi="Arial"/>
                <w:b/>
              </w:rPr>
            </w:pPr>
            <w:r w:rsidRPr="00650D98">
              <w:rPr>
                <w:rFonts w:ascii="Arial" w:hAnsi="Arial"/>
                <w:b/>
              </w:rPr>
              <w:t>Affiliation</w:t>
            </w:r>
          </w:p>
        </w:tc>
        <w:tc>
          <w:tcPr>
            <w:tcW w:w="4428" w:type="dxa"/>
            <w:shd w:val="clear" w:color="auto" w:fill="E0E0E0"/>
          </w:tcPr>
          <w:p w:rsidR="00650D98" w:rsidRPr="00650D98" w:rsidRDefault="00650D98" w:rsidP="00650D98">
            <w:pPr>
              <w:spacing w:before="60" w:after="60"/>
              <w:jc w:val="center"/>
              <w:rPr>
                <w:rFonts w:ascii="Arial" w:hAnsi="Arial"/>
                <w:b/>
              </w:rPr>
            </w:pPr>
            <w:r w:rsidRPr="00650D98">
              <w:rPr>
                <w:rFonts w:ascii="Arial" w:hAnsi="Arial"/>
                <w:b/>
              </w:rPr>
              <w:t>Member</w:t>
            </w:r>
          </w:p>
        </w:tc>
      </w:tr>
      <w:tr w:rsidR="00650D98" w:rsidRPr="00D43539">
        <w:trPr>
          <w:trHeight w:val="466"/>
        </w:trPr>
        <w:tc>
          <w:tcPr>
            <w:tcW w:w="4428" w:type="dxa"/>
            <w:vMerge w:val="restart"/>
            <w:vAlign w:val="center"/>
          </w:tcPr>
          <w:p w:rsidR="00650D98" w:rsidRPr="00650D98" w:rsidRDefault="00650D98" w:rsidP="00650D98">
            <w:pPr>
              <w:spacing w:before="60" w:after="60"/>
              <w:jc w:val="center"/>
              <w:rPr>
                <w:rFonts w:ascii="Arial" w:hAnsi="Arial"/>
              </w:rPr>
            </w:pPr>
            <w:r w:rsidRPr="00650D98">
              <w:rPr>
                <w:rFonts w:ascii="Arial" w:hAnsi="Arial"/>
              </w:rPr>
              <w:t>Commission of the European Communities</w:t>
            </w: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Dolores Montero</w:t>
            </w:r>
          </w:p>
        </w:tc>
      </w:tr>
      <w:tr w:rsidR="00650D98" w:rsidRPr="00D43539">
        <w:trPr>
          <w:trHeight w:val="440"/>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 xml:space="preserve">Carmen </w:t>
            </w:r>
            <w:proofErr w:type="spellStart"/>
            <w:r w:rsidRPr="00650D98">
              <w:rPr>
                <w:rFonts w:ascii="Arial" w:hAnsi="Arial"/>
              </w:rPr>
              <w:t>Kreft-Jais</w:t>
            </w:r>
            <w:proofErr w:type="spellEnd"/>
          </w:p>
        </w:tc>
      </w:tr>
      <w:tr w:rsidR="00650D98" w:rsidRPr="00D43539">
        <w:trPr>
          <w:trHeight w:val="350"/>
        </w:trPr>
        <w:tc>
          <w:tcPr>
            <w:tcW w:w="4428" w:type="dxa"/>
            <w:vMerge/>
            <w:vAlign w:val="center"/>
          </w:tcPr>
          <w:p w:rsidR="00650D98" w:rsidRPr="00650D98" w:rsidRDefault="00650D98" w:rsidP="00650D98">
            <w:pPr>
              <w:spacing w:before="60" w:after="60"/>
              <w:jc w:val="center"/>
              <w:rPr>
                <w:rFonts w:ascii="Arial" w:hAnsi="Arial"/>
              </w:rPr>
            </w:pPr>
          </w:p>
        </w:tc>
        <w:tc>
          <w:tcPr>
            <w:tcW w:w="4428" w:type="dxa"/>
            <w:vAlign w:val="center"/>
          </w:tcPr>
          <w:p w:rsidR="00650D98" w:rsidRPr="00650D98" w:rsidRDefault="00650D98" w:rsidP="00650D98">
            <w:pPr>
              <w:spacing w:before="60" w:after="60"/>
              <w:jc w:val="center"/>
              <w:rPr>
                <w:rFonts w:ascii="Arial" w:hAnsi="Arial"/>
              </w:rPr>
            </w:pPr>
            <w:proofErr w:type="spellStart"/>
            <w:r w:rsidRPr="00650D98">
              <w:rPr>
                <w:rFonts w:ascii="Arial" w:hAnsi="Arial"/>
              </w:rPr>
              <w:t>Morell</w:t>
            </w:r>
            <w:proofErr w:type="spellEnd"/>
            <w:r w:rsidRPr="00650D98">
              <w:rPr>
                <w:rFonts w:ascii="Arial" w:hAnsi="Arial"/>
              </w:rPr>
              <w:t xml:space="preserve"> David</w:t>
            </w:r>
          </w:p>
        </w:tc>
      </w:tr>
      <w:tr w:rsidR="00650D98" w:rsidRPr="00D43539">
        <w:trPr>
          <w:trHeight w:val="1006"/>
        </w:trPr>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European Federation of Pharmaceutical Industries and Associations</w:t>
            </w: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Barry Hammond</w:t>
            </w:r>
            <w:r w:rsidRPr="00650D98">
              <w:rPr>
                <w:rFonts w:ascii="Arial" w:hAnsi="Arial"/>
                <w:vertAlign w:val="superscript"/>
              </w:rPr>
              <w:t>†</w:t>
            </w:r>
            <w:r w:rsidRPr="00650D98">
              <w:rPr>
                <w:rFonts w:ascii="Arial" w:hAnsi="Arial"/>
              </w:rPr>
              <w:t xml:space="preserve">; </w:t>
            </w:r>
            <w:proofErr w:type="spellStart"/>
            <w:r w:rsidRPr="00650D98">
              <w:rPr>
                <w:rFonts w:ascii="Arial" w:hAnsi="Arial"/>
              </w:rPr>
              <w:t>Reinhard</w:t>
            </w:r>
            <w:proofErr w:type="spellEnd"/>
            <w:r w:rsidRPr="00650D98">
              <w:rPr>
                <w:rFonts w:ascii="Arial" w:hAnsi="Arial"/>
              </w:rPr>
              <w:t xml:space="preserve"> </w:t>
            </w:r>
            <w:proofErr w:type="spellStart"/>
            <w:r w:rsidRPr="00650D98">
              <w:rPr>
                <w:rFonts w:ascii="Arial" w:hAnsi="Arial"/>
              </w:rPr>
              <w:t>Fescharek</w:t>
            </w:r>
            <w:proofErr w:type="spellEnd"/>
            <w:r w:rsidRPr="00650D98">
              <w:rPr>
                <w:rFonts w:ascii="Arial" w:hAnsi="Arial"/>
                <w:vertAlign w:val="superscript"/>
              </w:rPr>
              <w:t>†</w:t>
            </w:r>
          </w:p>
        </w:tc>
      </w:tr>
      <w:tr w:rsidR="00650D98" w:rsidRPr="00D43539">
        <w:trPr>
          <w:trHeight w:val="623"/>
        </w:trPr>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Health Canada</w:t>
            </w: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 xml:space="preserve">Alison Bennett, Heather Morrison; Michelle </w:t>
            </w:r>
            <w:proofErr w:type="spellStart"/>
            <w:r w:rsidRPr="00650D98">
              <w:rPr>
                <w:rFonts w:ascii="Arial" w:hAnsi="Arial"/>
              </w:rPr>
              <w:t>Séguin</w:t>
            </w:r>
            <w:proofErr w:type="spellEnd"/>
            <w:r w:rsidRPr="00650D98">
              <w:rPr>
                <w:rFonts w:ascii="Arial" w:hAnsi="Arial"/>
              </w:rPr>
              <w:t>; Heather Sutcliffe; Bill Wilson</w:t>
            </w:r>
          </w:p>
        </w:tc>
      </w:tr>
      <w:tr w:rsidR="00650D98" w:rsidRPr="00E13CB0">
        <w:trPr>
          <w:trHeight w:val="548"/>
        </w:trPr>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Japanese Maintenance Organization</w:t>
            </w:r>
          </w:p>
        </w:tc>
        <w:tc>
          <w:tcPr>
            <w:tcW w:w="4428" w:type="dxa"/>
            <w:vAlign w:val="center"/>
          </w:tcPr>
          <w:p w:rsidR="00650D98" w:rsidRPr="00650D98" w:rsidRDefault="00650D98" w:rsidP="00650D98">
            <w:pPr>
              <w:spacing w:before="60" w:after="60"/>
              <w:jc w:val="center"/>
              <w:rPr>
                <w:rFonts w:ascii="Arial" w:hAnsi="Arial"/>
                <w:lang w:val="es-ES"/>
              </w:rPr>
            </w:pPr>
            <w:r w:rsidRPr="00650D98">
              <w:rPr>
                <w:rFonts w:ascii="Arial" w:hAnsi="Arial"/>
                <w:lang w:val="es-ES"/>
              </w:rPr>
              <w:t>Osamu Handa</w:t>
            </w:r>
            <w:r w:rsidRPr="00650D98">
              <w:rPr>
                <w:rFonts w:ascii="Arial" w:hAnsi="Arial"/>
                <w:lang w:val="fi-FI"/>
              </w:rPr>
              <w:t>; Akemi Ishikawa; Yasuo Sakurai; Yuki Tada</w:t>
            </w:r>
          </w:p>
        </w:tc>
      </w:tr>
      <w:tr w:rsidR="00650D98" w:rsidRPr="00D43539">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Japan Pharmaceutical Manufacturers Association</w:t>
            </w:r>
          </w:p>
        </w:tc>
        <w:tc>
          <w:tcPr>
            <w:tcW w:w="4428" w:type="dxa"/>
            <w:vAlign w:val="center"/>
          </w:tcPr>
          <w:p w:rsidR="00650D98" w:rsidRPr="00650D98" w:rsidRDefault="00650D98" w:rsidP="00650D98">
            <w:pPr>
              <w:spacing w:before="60" w:after="60"/>
              <w:jc w:val="center"/>
              <w:rPr>
                <w:rFonts w:ascii="Arial" w:hAnsi="Arial"/>
                <w:lang w:val="fi-FI"/>
              </w:rPr>
            </w:pPr>
            <w:r w:rsidRPr="00650D98">
              <w:rPr>
                <w:rFonts w:ascii="Arial" w:hAnsi="Arial"/>
              </w:rPr>
              <w:t>Takayoshi Ichikawa</w:t>
            </w:r>
            <w:r w:rsidRPr="00650D98">
              <w:rPr>
                <w:rFonts w:ascii="Arial" w:hAnsi="Arial"/>
                <w:lang w:val="fi-FI"/>
              </w:rPr>
              <w:t xml:space="preserve">; Akemi Ishikawa; Satoru Mori; Yasuo Sakurai; </w:t>
            </w:r>
          </w:p>
          <w:p w:rsidR="00650D98" w:rsidRPr="00650D98" w:rsidRDefault="00650D98" w:rsidP="00650D98">
            <w:pPr>
              <w:spacing w:before="60" w:after="60"/>
              <w:jc w:val="center"/>
              <w:rPr>
                <w:rFonts w:ascii="Arial" w:hAnsi="Arial"/>
                <w:lang w:val="fi-FI"/>
              </w:rPr>
            </w:pPr>
            <w:r w:rsidRPr="00650D98">
              <w:rPr>
                <w:rFonts w:ascii="Arial" w:hAnsi="Arial"/>
                <w:lang w:val="fi-FI"/>
              </w:rPr>
              <w:t>Kunikazu Yokoi</w:t>
            </w:r>
          </w:p>
        </w:tc>
      </w:tr>
      <w:tr w:rsidR="00650D98" w:rsidRPr="00D43539">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MedDRA MSSO</w:t>
            </w: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 xml:space="preserve">JoAnn </w:t>
            </w:r>
            <w:proofErr w:type="spellStart"/>
            <w:r w:rsidRPr="00650D98">
              <w:rPr>
                <w:rFonts w:ascii="Arial" w:hAnsi="Arial"/>
              </w:rPr>
              <w:t>Medbery</w:t>
            </w:r>
            <w:proofErr w:type="spellEnd"/>
            <w:r w:rsidRPr="00650D98">
              <w:rPr>
                <w:rFonts w:ascii="Arial" w:hAnsi="Arial"/>
              </w:rPr>
              <w:t xml:space="preserve">; Patricia </w:t>
            </w:r>
            <w:proofErr w:type="spellStart"/>
            <w:r w:rsidRPr="00650D98">
              <w:rPr>
                <w:rFonts w:ascii="Arial" w:hAnsi="Arial"/>
              </w:rPr>
              <w:t>Mozzicato</w:t>
            </w:r>
            <w:proofErr w:type="spellEnd"/>
          </w:p>
        </w:tc>
      </w:tr>
      <w:tr w:rsidR="00650D98" w:rsidRPr="00D43539">
        <w:trPr>
          <w:trHeight w:val="3418"/>
        </w:trPr>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 xml:space="preserve">Ministry of Health, </w:t>
            </w:r>
            <w:proofErr w:type="spellStart"/>
            <w:r w:rsidRPr="00650D98">
              <w:rPr>
                <w:rFonts w:ascii="Arial" w:hAnsi="Arial"/>
              </w:rPr>
              <w:t>Labour</w:t>
            </w:r>
            <w:proofErr w:type="spellEnd"/>
            <w:r w:rsidRPr="00650D98">
              <w:rPr>
                <w:rFonts w:ascii="Arial" w:hAnsi="Arial"/>
              </w:rPr>
              <w:t xml:space="preserve"> and Welfare</w:t>
            </w:r>
            <w:r w:rsidRPr="00650D98">
              <w:rPr>
                <w:rFonts w:ascii="Arial" w:hAnsi="Arial"/>
                <w:lang w:eastAsia="ja-JP"/>
              </w:rPr>
              <w:t>/Pharmaceuticals and Medical Devices Agency</w:t>
            </w: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 xml:space="preserve">Tamaki Fushimi; </w:t>
            </w:r>
            <w:proofErr w:type="spellStart"/>
            <w:r w:rsidRPr="00650D98">
              <w:rPr>
                <w:rFonts w:ascii="Arial" w:hAnsi="Arial"/>
              </w:rPr>
              <w:t>Wakako</w:t>
            </w:r>
            <w:proofErr w:type="spellEnd"/>
            <w:r w:rsidRPr="00650D98">
              <w:rPr>
                <w:rFonts w:ascii="Arial" w:hAnsi="Arial"/>
              </w:rPr>
              <w:t xml:space="preserve"> </w:t>
            </w:r>
            <w:proofErr w:type="spellStart"/>
            <w:r w:rsidRPr="00650D98">
              <w:rPr>
                <w:rFonts w:ascii="Arial" w:hAnsi="Arial"/>
              </w:rPr>
              <w:t>Horiki</w:t>
            </w:r>
            <w:proofErr w:type="spellEnd"/>
            <w:r w:rsidRPr="00650D98">
              <w:rPr>
                <w:rFonts w:ascii="Arial" w:hAnsi="Arial"/>
              </w:rPr>
              <w:t xml:space="preserve">; </w:t>
            </w:r>
            <w:proofErr w:type="spellStart"/>
            <w:r w:rsidRPr="00650D98">
              <w:rPr>
                <w:rFonts w:ascii="Arial" w:hAnsi="Arial"/>
                <w:bCs/>
                <w:color w:val="000000"/>
              </w:rPr>
              <w:t>Sonoko</w:t>
            </w:r>
            <w:proofErr w:type="spellEnd"/>
            <w:r w:rsidRPr="00650D98">
              <w:rPr>
                <w:rFonts w:ascii="Arial" w:hAnsi="Arial"/>
                <w:bCs/>
                <w:color w:val="000000"/>
              </w:rPr>
              <w:t xml:space="preserve"> Ishihara</w:t>
            </w:r>
            <w:r w:rsidRPr="00650D98">
              <w:rPr>
                <w:rFonts w:ascii="Arial" w:hAnsi="Arial"/>
              </w:rPr>
              <w:t xml:space="preserve">; Kazuhiro </w:t>
            </w:r>
            <w:proofErr w:type="spellStart"/>
            <w:r w:rsidRPr="00650D98">
              <w:rPr>
                <w:rFonts w:ascii="Arial" w:hAnsi="Arial"/>
              </w:rPr>
              <w:t>Kemmotsu</w:t>
            </w:r>
            <w:proofErr w:type="spellEnd"/>
            <w:r w:rsidRPr="00650D98">
              <w:rPr>
                <w:rFonts w:ascii="Arial" w:hAnsi="Arial"/>
              </w:rPr>
              <w:t xml:space="preserve">; Tatsuo </w:t>
            </w:r>
            <w:proofErr w:type="spellStart"/>
            <w:r w:rsidRPr="00650D98">
              <w:rPr>
                <w:rFonts w:ascii="Arial" w:hAnsi="Arial"/>
              </w:rPr>
              <w:t>Kishi</w:t>
            </w:r>
            <w:proofErr w:type="spellEnd"/>
            <w:r w:rsidRPr="00650D98">
              <w:rPr>
                <w:rFonts w:ascii="Arial" w:hAnsi="Arial"/>
              </w:rPr>
              <w:t xml:space="preserve">; Chie Kojima; </w:t>
            </w:r>
            <w:r w:rsidRPr="00650D98">
              <w:rPr>
                <w:rFonts w:ascii="Arial" w:hAnsi="Arial"/>
                <w:lang w:val="fi-FI"/>
              </w:rPr>
              <w:t>Emiko Kondo</w:t>
            </w:r>
            <w:r w:rsidRPr="00650D98">
              <w:rPr>
                <w:rFonts w:ascii="Arial" w:hAnsi="Arial"/>
              </w:rPr>
              <w:t xml:space="preserve">; </w:t>
            </w:r>
            <w:r w:rsidRPr="00650D98">
              <w:rPr>
                <w:rFonts w:ascii="Arial" w:hAnsi="Arial"/>
                <w:bCs/>
                <w:noProof/>
              </w:rPr>
              <w:t>Hideyuki Kondou;</w:t>
            </w:r>
            <w:r w:rsidRPr="00650D98">
              <w:rPr>
                <w:rFonts w:ascii="Arial" w:hAnsi="Arial"/>
                <w:lang w:val="fi-FI"/>
              </w:rPr>
              <w:t xml:space="preserve"> Kemji Kuramochi</w:t>
            </w:r>
            <w:r w:rsidRPr="00650D98">
              <w:rPr>
                <w:rFonts w:ascii="Arial" w:hAnsi="Arial"/>
              </w:rPr>
              <w:t xml:space="preserve">; </w:t>
            </w:r>
            <w:r w:rsidRPr="00650D98">
              <w:rPr>
                <w:rFonts w:ascii="Arial" w:hAnsi="Arial"/>
                <w:lang w:val="fi-FI"/>
              </w:rPr>
              <w:t>Tetsuya Kusakabe</w:t>
            </w:r>
            <w:r w:rsidRPr="00650D98">
              <w:rPr>
                <w:rFonts w:ascii="Arial" w:hAnsi="Arial"/>
              </w:rPr>
              <w:t xml:space="preserve">; </w:t>
            </w:r>
            <w:r w:rsidRPr="00650D98">
              <w:rPr>
                <w:rFonts w:ascii="Arial" w:hAnsi="Arial"/>
                <w:lang w:val="fi-FI"/>
              </w:rPr>
              <w:t>Kaori Nomura</w:t>
            </w:r>
            <w:r w:rsidRPr="00650D98">
              <w:rPr>
                <w:rFonts w:ascii="Arial" w:hAnsi="Arial"/>
              </w:rPr>
              <w:t xml:space="preserve">; Izumi Oba; </w:t>
            </w:r>
            <w:r w:rsidRPr="00650D98">
              <w:rPr>
                <w:rFonts w:ascii="Arial" w:hAnsi="Arial"/>
                <w:bCs/>
                <w:color w:val="000000"/>
              </w:rPr>
              <w:t>Shinichi Okamura</w:t>
            </w:r>
            <w:r w:rsidRPr="00650D98">
              <w:rPr>
                <w:rFonts w:ascii="Arial" w:hAnsi="Arial"/>
              </w:rPr>
              <w:t>; Yoshihiko Sano;</w:t>
            </w:r>
            <w:r w:rsidRPr="00650D98">
              <w:rPr>
                <w:rFonts w:ascii="Arial" w:hAnsi="Arial"/>
                <w:lang w:val="fi-FI"/>
              </w:rPr>
              <w:t xml:space="preserve"> </w:t>
            </w:r>
            <w:proofErr w:type="spellStart"/>
            <w:r w:rsidRPr="00650D98">
              <w:rPr>
                <w:rFonts w:ascii="Arial" w:hAnsi="Arial"/>
              </w:rPr>
              <w:t>Nogusa</w:t>
            </w:r>
            <w:proofErr w:type="spellEnd"/>
            <w:r w:rsidRPr="00650D98">
              <w:rPr>
                <w:rFonts w:ascii="Arial" w:hAnsi="Arial"/>
              </w:rPr>
              <w:t xml:space="preserve"> </w:t>
            </w:r>
            <w:proofErr w:type="spellStart"/>
            <w:r w:rsidRPr="00650D98">
              <w:rPr>
                <w:rFonts w:ascii="Arial" w:hAnsi="Arial"/>
              </w:rPr>
              <w:t>Takahara</w:t>
            </w:r>
            <w:proofErr w:type="spellEnd"/>
            <w:r w:rsidRPr="00650D98">
              <w:rPr>
                <w:rFonts w:ascii="Arial" w:hAnsi="Arial"/>
                <w:lang w:val="fi-FI"/>
              </w:rPr>
              <w:t>; Kenichi Tamiya</w:t>
            </w:r>
            <w:r w:rsidRPr="00650D98">
              <w:rPr>
                <w:rFonts w:ascii="Arial" w:hAnsi="Arial"/>
              </w:rPr>
              <w:t>; Daisuke Tanaka;</w:t>
            </w:r>
            <w:r w:rsidRPr="00650D98">
              <w:rPr>
                <w:rFonts w:ascii="Arial" w:hAnsi="Arial"/>
                <w:lang w:val="fi-FI"/>
              </w:rPr>
              <w:t xml:space="preserve"> </w:t>
            </w:r>
            <w:r w:rsidRPr="00650D98">
              <w:rPr>
                <w:rFonts w:ascii="Arial" w:hAnsi="Arial"/>
                <w:bCs/>
                <w:noProof/>
              </w:rPr>
              <w:t>Shinichi Watanabe;</w:t>
            </w:r>
            <w:r w:rsidRPr="00650D98">
              <w:rPr>
                <w:rFonts w:ascii="Arial" w:hAnsi="Arial"/>
                <w:lang w:val="fi-FI"/>
              </w:rPr>
              <w:t xml:space="preserve"> Takashi Yasukawa</w:t>
            </w:r>
            <w:r w:rsidRPr="00650D98">
              <w:rPr>
                <w:rFonts w:ascii="Arial" w:hAnsi="Arial"/>
              </w:rPr>
              <w:t>; Go Yamamoto;</w:t>
            </w:r>
            <w:r w:rsidRPr="00650D98">
              <w:rPr>
                <w:rFonts w:ascii="Arial" w:hAnsi="Arial"/>
                <w:lang w:val="fi-FI"/>
              </w:rPr>
              <w:t xml:space="preserve"> Manabu Yamamoto</w:t>
            </w:r>
            <w:r w:rsidRPr="00650D98">
              <w:rPr>
                <w:rFonts w:ascii="Arial" w:hAnsi="Arial"/>
              </w:rPr>
              <w:t>;</w:t>
            </w:r>
            <w:r>
              <w:rPr>
                <w:rFonts w:ascii="Arial" w:hAnsi="Arial"/>
              </w:rPr>
              <w:t xml:space="preserve"> </w:t>
            </w:r>
            <w:r w:rsidRPr="00650D98">
              <w:rPr>
                <w:rFonts w:ascii="Arial" w:hAnsi="Arial"/>
                <w:lang w:val="es-ES"/>
              </w:rPr>
              <w:t>Nobuhiro Yamamoto</w:t>
            </w:r>
          </w:p>
        </w:tc>
      </w:tr>
      <w:tr w:rsidR="00650D98" w:rsidRPr="00D43539">
        <w:trPr>
          <w:trHeight w:val="902"/>
        </w:trPr>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Pharmaceutical Research and Manufacturers of America</w:t>
            </w:r>
          </w:p>
        </w:tc>
        <w:tc>
          <w:tcPr>
            <w:tcW w:w="4428" w:type="dxa"/>
            <w:vAlign w:val="center"/>
          </w:tcPr>
          <w:p w:rsidR="00650D98" w:rsidRPr="00650D98" w:rsidRDefault="00650D98" w:rsidP="00650D98">
            <w:pPr>
              <w:pStyle w:val="BodyText"/>
              <w:spacing w:before="60" w:after="60"/>
              <w:jc w:val="center"/>
              <w:rPr>
                <w:rFonts w:cs="Arial"/>
              </w:rPr>
            </w:pPr>
            <w:r w:rsidRPr="00650D98">
              <w:rPr>
                <w:rFonts w:cs="Arial"/>
              </w:rPr>
              <w:t xml:space="preserve">David Goldsmith; Sidney Kahn; </w:t>
            </w:r>
            <w:r w:rsidRPr="00650D98">
              <w:rPr>
                <w:bCs/>
              </w:rPr>
              <w:t xml:space="preserve">Anna-Lisa </w:t>
            </w:r>
            <w:proofErr w:type="spellStart"/>
            <w:r w:rsidRPr="00650D98">
              <w:rPr>
                <w:bCs/>
              </w:rPr>
              <w:t>Kleckner</w:t>
            </w:r>
            <w:proofErr w:type="spellEnd"/>
            <w:r w:rsidRPr="00650D98">
              <w:rPr>
                <w:rFonts w:cs="Arial"/>
              </w:rPr>
              <w:t xml:space="preserve">; Susan M. </w:t>
            </w:r>
            <w:proofErr w:type="spellStart"/>
            <w:r w:rsidRPr="00650D98">
              <w:rPr>
                <w:rFonts w:cs="Arial"/>
              </w:rPr>
              <w:t>Lorenski</w:t>
            </w:r>
            <w:proofErr w:type="spellEnd"/>
            <w:r w:rsidRPr="00650D98">
              <w:rPr>
                <w:rFonts w:cs="Arial"/>
              </w:rPr>
              <w:t>; Margaret M. Westland</w:t>
            </w:r>
            <w:bookmarkStart w:id="20" w:name="OLE_LINK4"/>
            <w:r w:rsidRPr="00650D98">
              <w:rPr>
                <w:rFonts w:cs="Arial"/>
                <w:vertAlign w:val="superscript"/>
              </w:rPr>
              <w:t>†</w:t>
            </w:r>
            <w:bookmarkEnd w:id="20"/>
          </w:p>
        </w:tc>
      </w:tr>
      <w:tr w:rsidR="00650D98" w:rsidRPr="00D43539">
        <w:trPr>
          <w:trHeight w:val="656"/>
        </w:trPr>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US Food and Drug Administration</w:t>
            </w:r>
          </w:p>
        </w:tc>
        <w:tc>
          <w:tcPr>
            <w:tcW w:w="4428" w:type="dxa"/>
            <w:vAlign w:val="center"/>
          </w:tcPr>
          <w:p w:rsidR="00650D98" w:rsidRPr="00650D98" w:rsidRDefault="00650D98" w:rsidP="00650D98">
            <w:pPr>
              <w:spacing w:before="60" w:after="60"/>
              <w:jc w:val="center"/>
              <w:rPr>
                <w:rFonts w:ascii="Arial" w:hAnsi="Arial"/>
              </w:rPr>
            </w:pPr>
            <w:r w:rsidRPr="00650D98">
              <w:rPr>
                <w:rFonts w:ascii="Arial" w:hAnsi="Arial"/>
              </w:rPr>
              <w:t xml:space="preserve">Miles Braun; Andrea </w:t>
            </w:r>
            <w:proofErr w:type="spellStart"/>
            <w:r w:rsidRPr="00650D98">
              <w:rPr>
                <w:rFonts w:ascii="Arial" w:hAnsi="Arial"/>
              </w:rPr>
              <w:t>Feight</w:t>
            </w:r>
            <w:proofErr w:type="spellEnd"/>
            <w:r w:rsidRPr="00650D98">
              <w:rPr>
                <w:rFonts w:ascii="Arial" w:hAnsi="Arial"/>
              </w:rPr>
              <w:t xml:space="preserve">; </w:t>
            </w:r>
            <w:bookmarkStart w:id="21" w:name="OLE_LINK23"/>
            <w:r w:rsidRPr="00650D98">
              <w:rPr>
                <w:rFonts w:ascii="Arial" w:hAnsi="Arial"/>
              </w:rPr>
              <w:t>John (Jake) Kelsey</w:t>
            </w:r>
            <w:r w:rsidRPr="00650D98">
              <w:rPr>
                <w:rFonts w:ascii="Arial" w:hAnsi="Arial"/>
                <w:vertAlign w:val="superscript"/>
              </w:rPr>
              <w:t>†</w:t>
            </w:r>
            <w:r w:rsidRPr="00650D98">
              <w:rPr>
                <w:rFonts w:ascii="Arial" w:hAnsi="Arial"/>
              </w:rPr>
              <w:t>;</w:t>
            </w:r>
            <w:bookmarkEnd w:id="21"/>
            <w:r w:rsidRPr="00650D98">
              <w:rPr>
                <w:rFonts w:ascii="Arial" w:hAnsi="Arial"/>
              </w:rPr>
              <w:t xml:space="preserve"> Brad </w:t>
            </w:r>
            <w:proofErr w:type="spellStart"/>
            <w:r w:rsidRPr="00650D98">
              <w:rPr>
                <w:rFonts w:ascii="Arial" w:hAnsi="Arial"/>
              </w:rPr>
              <w:t>Leissa</w:t>
            </w:r>
            <w:proofErr w:type="spellEnd"/>
            <w:r w:rsidRPr="00650D98">
              <w:rPr>
                <w:rFonts w:ascii="Arial" w:hAnsi="Arial"/>
              </w:rPr>
              <w:t>; Toni Piazza-</w:t>
            </w:r>
            <w:proofErr w:type="spellStart"/>
            <w:r w:rsidRPr="00650D98">
              <w:rPr>
                <w:rFonts w:ascii="Arial" w:hAnsi="Arial"/>
              </w:rPr>
              <w:t>Hepp</w:t>
            </w:r>
            <w:proofErr w:type="spellEnd"/>
          </w:p>
        </w:tc>
      </w:tr>
    </w:tbl>
    <w:p w:rsidR="00977E48" w:rsidRDefault="00977E48" w:rsidP="00E15710">
      <w:pPr>
        <w:rPr>
          <w:rFonts w:ascii="Arial" w:hAnsi="Arial" w:cs="Arial"/>
          <w:color w:val="17365D" w:themeColor="text2" w:themeShade="BF"/>
        </w:rPr>
      </w:pPr>
    </w:p>
    <w:p w:rsidR="00EF69A6" w:rsidRPr="00377F79" w:rsidRDefault="00EF69A6" w:rsidP="00EF69A6">
      <w:pPr>
        <w:rPr>
          <w:rFonts w:ascii="Arial" w:hAnsi="Arial" w:cs="Arial"/>
        </w:rPr>
      </w:pPr>
      <w:r w:rsidRPr="00377F79">
        <w:rPr>
          <w:rFonts w:ascii="Arial" w:hAnsi="Arial" w:cs="Arial"/>
          <w:vertAlign w:val="superscript"/>
        </w:rPr>
        <w:t>†</w:t>
      </w:r>
      <w:r w:rsidRPr="00377F79">
        <w:rPr>
          <w:rFonts w:ascii="Arial" w:hAnsi="Arial" w:cs="Arial"/>
        </w:rPr>
        <w:t xml:space="preserve">   Former Rapporteur</w:t>
      </w:r>
    </w:p>
    <w:p w:rsidR="002D1D6A" w:rsidRDefault="00D04DDA" w:rsidP="00E15710">
      <w:pPr>
        <w:rPr>
          <w:rFonts w:ascii="Arial" w:hAnsi="Arial" w:cs="Arial"/>
          <w:b/>
        </w:rPr>
      </w:pPr>
      <w:r w:rsidRPr="00DB03A3">
        <w:rPr>
          <w:rFonts w:ascii="Arial" w:hAnsi="Arial" w:cs="Arial"/>
          <w:b/>
        </w:rPr>
        <w:t>6.3  Figures</w:t>
      </w:r>
    </w:p>
    <w:p w:rsidR="00D65C6F" w:rsidRDefault="00D65C6F" w:rsidP="00E15710">
      <w:pPr>
        <w:rPr>
          <w:rFonts w:ascii="Arial" w:hAnsi="Arial" w:cs="Arial"/>
          <w:b/>
        </w:rPr>
      </w:pPr>
    </w:p>
    <w:p w:rsidR="00D04DDA" w:rsidRPr="00DB03A3" w:rsidRDefault="00D04DDA" w:rsidP="00E15710">
      <w:pPr>
        <w:rPr>
          <w:rFonts w:ascii="Arial" w:hAnsi="Arial" w:cs="Arial"/>
        </w:rPr>
      </w:pPr>
    </w:p>
    <w:p w:rsidR="00FA765D" w:rsidRPr="00BE05BE" w:rsidRDefault="001533E9" w:rsidP="00D65C6F">
      <w:pPr>
        <w:rPr>
          <w:rFonts w:ascii="Arial" w:hAnsi="Arial" w:cs="Arial"/>
        </w:rPr>
      </w:pPr>
      <w:r w:rsidRPr="00DB03A3">
        <w:rPr>
          <w:rFonts w:ascii="Arial" w:hAnsi="Arial" w:cs="Arial"/>
        </w:rPr>
        <w:t>Figure 3:</w:t>
      </w:r>
      <w:r w:rsidR="002D1D6A" w:rsidRPr="00DB03A3">
        <w:rPr>
          <w:rFonts w:ascii="Arial" w:hAnsi="Arial" w:cs="Arial"/>
        </w:rPr>
        <w:t xml:space="preserve">  The examples (relat</w:t>
      </w:r>
      <w:r w:rsidR="002826AE" w:rsidRPr="00DB03A3">
        <w:rPr>
          <w:rFonts w:ascii="Arial" w:hAnsi="Arial" w:cs="Arial"/>
        </w:rPr>
        <w:t xml:space="preserve">ed to MedDRA version changes) </w:t>
      </w:r>
      <w:r w:rsidR="002D1D6A" w:rsidRPr="00DB03A3">
        <w:rPr>
          <w:rFonts w:ascii="Arial" w:hAnsi="Arial" w:cs="Arial"/>
        </w:rPr>
        <w:t>f</w:t>
      </w:r>
      <w:r w:rsidR="002826AE" w:rsidRPr="00DB03A3">
        <w:rPr>
          <w:rFonts w:ascii="Arial" w:hAnsi="Arial" w:cs="Arial"/>
        </w:rPr>
        <w:t>or</w:t>
      </w:r>
      <w:r w:rsidR="002D1D6A" w:rsidRPr="00DB03A3">
        <w:rPr>
          <w:rFonts w:ascii="Arial" w:hAnsi="Arial" w:cs="Arial"/>
        </w:rPr>
        <w:t xml:space="preserve"> this figure:</w:t>
      </w:r>
    </w:p>
    <w:p w:rsidR="00147725" w:rsidRDefault="00147725" w:rsidP="00EF69A6">
      <w:pPr>
        <w:rPr>
          <w:rFonts w:ascii="Arial" w:hAnsi="Arial" w:cs="Arial"/>
        </w:rPr>
      </w:pPr>
    </w:p>
    <w:p w:rsidR="00147725" w:rsidRPr="000F0B13" w:rsidRDefault="00147725" w:rsidP="00EF69A6">
      <w:pPr>
        <w:rPr>
          <w:rFonts w:ascii="Arial" w:hAnsi="Arial" w:cs="Arial"/>
        </w:rPr>
      </w:pPr>
    </w:p>
    <w:p w:rsidR="00EF69A6" w:rsidRDefault="00EF69A6" w:rsidP="00EF69A6">
      <w:pPr>
        <w:rPr>
          <w:rFonts w:ascii="Arial" w:hAnsi="Arial" w:cs="Arial"/>
          <w:i/>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1890"/>
        <w:gridCol w:w="2250"/>
        <w:gridCol w:w="3690"/>
      </w:tblGrid>
      <w:tr w:rsidR="00EF69A6" w:rsidRPr="00504E79">
        <w:tc>
          <w:tcPr>
            <w:tcW w:w="2448" w:type="dxa"/>
            <w:vMerge w:val="restart"/>
            <w:shd w:val="clear" w:color="auto" w:fill="D9D9D9"/>
          </w:tcPr>
          <w:p w:rsidR="00EF69A6" w:rsidRPr="00EF69A6" w:rsidRDefault="00EF69A6" w:rsidP="00650D98">
            <w:pPr>
              <w:jc w:val="center"/>
              <w:rPr>
                <w:rFonts w:ascii="Arial" w:hAnsi="Arial" w:cs="Arial"/>
                <w:b/>
              </w:rPr>
            </w:pPr>
            <w:r w:rsidRPr="00EF69A6">
              <w:rPr>
                <w:rFonts w:ascii="Arial" w:hAnsi="Arial" w:cs="Arial"/>
                <w:b/>
              </w:rPr>
              <w:t>Preferred Terms</w:t>
            </w:r>
          </w:p>
        </w:tc>
        <w:tc>
          <w:tcPr>
            <w:tcW w:w="4140" w:type="dxa"/>
            <w:gridSpan w:val="2"/>
            <w:shd w:val="clear" w:color="auto" w:fill="D9D9D9"/>
          </w:tcPr>
          <w:p w:rsidR="00EF69A6" w:rsidRPr="00377F79" w:rsidRDefault="00EF69A6" w:rsidP="00650D98">
            <w:pPr>
              <w:jc w:val="center"/>
              <w:rPr>
                <w:rFonts w:ascii="Arial" w:hAnsi="Arial" w:cs="Arial"/>
                <w:b/>
              </w:rPr>
            </w:pPr>
            <w:r w:rsidRPr="00147725">
              <w:rPr>
                <w:rFonts w:ascii="Arial" w:hAnsi="Arial" w:cs="Arial"/>
                <w:b/>
              </w:rPr>
              <w:t>Events/Cases</w:t>
            </w:r>
          </w:p>
        </w:tc>
        <w:tc>
          <w:tcPr>
            <w:tcW w:w="3690" w:type="dxa"/>
            <w:vMerge w:val="restart"/>
            <w:shd w:val="clear" w:color="auto" w:fill="D9D9D9"/>
          </w:tcPr>
          <w:p w:rsidR="00EF69A6" w:rsidRPr="00377F79" w:rsidRDefault="00EF69A6" w:rsidP="00650D98">
            <w:pPr>
              <w:jc w:val="center"/>
              <w:rPr>
                <w:rFonts w:ascii="Arial" w:hAnsi="Arial" w:cs="Arial"/>
                <w:b/>
              </w:rPr>
            </w:pPr>
            <w:r w:rsidRPr="00377F79">
              <w:rPr>
                <w:rFonts w:ascii="Arial" w:hAnsi="Arial" w:cs="Arial"/>
                <w:b/>
              </w:rPr>
              <w:t>Comment</w:t>
            </w:r>
          </w:p>
        </w:tc>
      </w:tr>
      <w:tr w:rsidR="00EF69A6" w:rsidRPr="00504E79">
        <w:tc>
          <w:tcPr>
            <w:tcW w:w="2448" w:type="dxa"/>
            <w:vMerge/>
            <w:shd w:val="clear" w:color="auto" w:fill="D9D9D9"/>
          </w:tcPr>
          <w:p w:rsidR="00EF69A6" w:rsidRPr="00377F79" w:rsidRDefault="00EF69A6" w:rsidP="00650D98">
            <w:pPr>
              <w:rPr>
                <w:rFonts w:ascii="Arial" w:hAnsi="Arial" w:cs="Arial"/>
                <w:b/>
              </w:rPr>
            </w:pPr>
          </w:p>
        </w:tc>
        <w:tc>
          <w:tcPr>
            <w:tcW w:w="1890" w:type="dxa"/>
            <w:shd w:val="clear" w:color="auto" w:fill="D9D9D9"/>
          </w:tcPr>
          <w:p w:rsidR="00EF69A6" w:rsidRPr="00EF69A6" w:rsidRDefault="00EF69A6" w:rsidP="00650D98">
            <w:pPr>
              <w:jc w:val="center"/>
              <w:rPr>
                <w:rFonts w:ascii="Arial" w:hAnsi="Arial" w:cs="Arial"/>
                <w:b/>
              </w:rPr>
            </w:pPr>
            <w:r w:rsidRPr="00377F79">
              <w:rPr>
                <w:rFonts w:ascii="Arial" w:hAnsi="Arial" w:cs="Arial"/>
                <w:b/>
              </w:rPr>
              <w:t>Version 16.1</w:t>
            </w:r>
          </w:p>
        </w:tc>
        <w:tc>
          <w:tcPr>
            <w:tcW w:w="2250" w:type="dxa"/>
            <w:shd w:val="clear" w:color="auto" w:fill="D9D9D9"/>
          </w:tcPr>
          <w:p w:rsidR="00EF69A6" w:rsidRPr="00EF69A6" w:rsidRDefault="00EF69A6" w:rsidP="00650D98">
            <w:pPr>
              <w:jc w:val="center"/>
              <w:rPr>
                <w:rFonts w:ascii="Arial" w:hAnsi="Arial" w:cs="Arial"/>
                <w:b/>
              </w:rPr>
            </w:pPr>
            <w:r w:rsidRPr="00EF69A6">
              <w:rPr>
                <w:rFonts w:ascii="Arial" w:hAnsi="Arial" w:cs="Arial"/>
                <w:b/>
              </w:rPr>
              <w:t>Version 1</w:t>
            </w:r>
            <w:r w:rsidRPr="00377F79">
              <w:rPr>
                <w:rFonts w:ascii="Arial" w:hAnsi="Arial" w:cs="Arial"/>
                <w:b/>
              </w:rPr>
              <w:t>7.0</w:t>
            </w:r>
          </w:p>
        </w:tc>
        <w:tc>
          <w:tcPr>
            <w:tcW w:w="3690" w:type="dxa"/>
            <w:vMerge/>
            <w:shd w:val="clear" w:color="auto" w:fill="D9D9D9"/>
          </w:tcPr>
          <w:p w:rsidR="00EF69A6" w:rsidRPr="00377F79" w:rsidRDefault="00EF69A6" w:rsidP="00650D98">
            <w:pPr>
              <w:rPr>
                <w:rFonts w:ascii="Arial" w:hAnsi="Arial" w:cs="Arial"/>
                <w:b/>
              </w:rPr>
            </w:pPr>
          </w:p>
        </w:tc>
      </w:tr>
      <w:tr w:rsidR="00EF69A6" w:rsidRPr="00504E79">
        <w:trPr>
          <w:trHeight w:val="791"/>
        </w:trPr>
        <w:tc>
          <w:tcPr>
            <w:tcW w:w="2448" w:type="dxa"/>
            <w:vAlign w:val="center"/>
          </w:tcPr>
          <w:p w:rsidR="00EF69A6" w:rsidRPr="00EF69A6" w:rsidRDefault="00EF69A6">
            <w:pPr>
              <w:pStyle w:val="BodyText2"/>
              <w:spacing w:after="0"/>
              <w:rPr>
                <w:rFonts w:ascii="Arial" w:hAnsi="Arial" w:cs="Arial"/>
              </w:rPr>
            </w:pPr>
            <w:bookmarkStart w:id="22" w:name="OLE_LINK18"/>
            <w:r w:rsidRPr="00EF69A6">
              <w:rPr>
                <w:rFonts w:ascii="Arial" w:hAnsi="Arial" w:cs="Arial"/>
              </w:rPr>
              <w:t>Pleural</w:t>
            </w:r>
            <w:r w:rsidR="00147725">
              <w:rPr>
                <w:rFonts w:ascii="Arial" w:hAnsi="Arial" w:cs="Arial"/>
              </w:rPr>
              <w:t xml:space="preserve"> </w:t>
            </w:r>
            <w:r w:rsidRPr="00EF69A6">
              <w:rPr>
                <w:rFonts w:ascii="Arial" w:hAnsi="Arial" w:cs="Arial"/>
              </w:rPr>
              <w:t>haemorrhage</w:t>
            </w:r>
            <w:bookmarkEnd w:id="22"/>
          </w:p>
        </w:tc>
        <w:tc>
          <w:tcPr>
            <w:tcW w:w="1890" w:type="dxa"/>
          </w:tcPr>
          <w:p w:rsidR="00EF69A6" w:rsidRPr="00377F79" w:rsidRDefault="00EF69A6" w:rsidP="00650D98">
            <w:pPr>
              <w:jc w:val="right"/>
              <w:rPr>
                <w:rFonts w:ascii="Arial" w:hAnsi="Arial" w:cs="Arial"/>
              </w:rPr>
            </w:pPr>
            <w:r w:rsidRPr="00147725">
              <w:rPr>
                <w:rFonts w:ascii="Arial" w:hAnsi="Arial" w:cs="Arial"/>
              </w:rPr>
              <w:t>15</w:t>
            </w:r>
          </w:p>
        </w:tc>
        <w:tc>
          <w:tcPr>
            <w:tcW w:w="2250" w:type="dxa"/>
          </w:tcPr>
          <w:p w:rsidR="00EF69A6" w:rsidRPr="00377F79" w:rsidRDefault="00EF69A6" w:rsidP="00650D98">
            <w:pPr>
              <w:tabs>
                <w:tab w:val="left" w:pos="2232"/>
              </w:tabs>
              <w:jc w:val="right"/>
              <w:rPr>
                <w:rFonts w:ascii="Arial" w:hAnsi="Arial" w:cs="Arial"/>
              </w:rPr>
            </w:pPr>
            <w:r w:rsidRPr="00377F79">
              <w:rPr>
                <w:rFonts w:ascii="Arial" w:hAnsi="Arial" w:cs="Arial"/>
              </w:rPr>
              <w:t xml:space="preserve">0 </w:t>
            </w:r>
          </w:p>
          <w:p w:rsidR="00EF69A6" w:rsidRPr="00377F79" w:rsidRDefault="00EF69A6" w:rsidP="00650D98">
            <w:pPr>
              <w:tabs>
                <w:tab w:val="left" w:pos="2232"/>
              </w:tabs>
              <w:jc w:val="right"/>
              <w:rPr>
                <w:rFonts w:ascii="Arial" w:hAnsi="Arial" w:cs="Arial"/>
              </w:rPr>
            </w:pPr>
            <w:r w:rsidRPr="00377F79">
              <w:rPr>
                <w:rFonts w:ascii="Arial" w:hAnsi="Arial" w:cs="Arial"/>
              </w:rPr>
              <w:t>(no longer a PT)</w:t>
            </w:r>
          </w:p>
        </w:tc>
        <w:tc>
          <w:tcPr>
            <w:tcW w:w="3690" w:type="dxa"/>
            <w:vMerge w:val="restart"/>
          </w:tcPr>
          <w:p w:rsidR="00EF69A6" w:rsidRPr="00EF69A6" w:rsidRDefault="00EF69A6" w:rsidP="00650D98">
            <w:pPr>
              <w:jc w:val="center"/>
              <w:rPr>
                <w:rFonts w:ascii="Arial" w:hAnsi="Arial" w:cs="Arial"/>
              </w:rPr>
            </w:pPr>
            <w:r w:rsidRPr="00377F79">
              <w:rPr>
                <w:rFonts w:ascii="Arial" w:hAnsi="Arial" w:cs="Arial"/>
              </w:rPr>
              <w:t>In MedDRA Version 16.1</w:t>
            </w:r>
            <w:r w:rsidRPr="00EF69A6">
              <w:rPr>
                <w:rFonts w:ascii="Arial" w:hAnsi="Arial" w:cs="Arial"/>
                <w:i/>
              </w:rPr>
              <w:t xml:space="preserve">, </w:t>
            </w:r>
            <w:r w:rsidRPr="00377F79">
              <w:rPr>
                <w:rFonts w:ascii="Arial" w:hAnsi="Arial" w:cs="Arial"/>
                <w:i/>
              </w:rPr>
              <w:t>Pleural haemorrhage</w:t>
            </w:r>
            <w:r w:rsidRPr="00EF69A6">
              <w:rPr>
                <w:rFonts w:ascii="Arial" w:hAnsi="Arial" w:cs="Arial"/>
              </w:rPr>
              <w:t xml:space="preserve"> was a PT and in Version 1</w:t>
            </w:r>
            <w:r w:rsidRPr="00377F79">
              <w:rPr>
                <w:rFonts w:ascii="Arial" w:hAnsi="Arial" w:cs="Arial"/>
              </w:rPr>
              <w:t>7.0</w:t>
            </w:r>
            <w:r w:rsidRPr="00EF69A6">
              <w:rPr>
                <w:rFonts w:ascii="Arial" w:hAnsi="Arial" w:cs="Arial"/>
              </w:rPr>
              <w:t xml:space="preserve"> it was demoted to an LLT under PT </w:t>
            </w:r>
            <w:r w:rsidRPr="00377F79">
              <w:rPr>
                <w:rFonts w:ascii="Arial" w:hAnsi="Arial" w:cs="Arial"/>
                <w:i/>
              </w:rPr>
              <w:t>Haemothorax</w:t>
            </w:r>
          </w:p>
        </w:tc>
      </w:tr>
      <w:tr w:rsidR="00EF69A6" w:rsidRPr="00504E79">
        <w:tc>
          <w:tcPr>
            <w:tcW w:w="2448" w:type="dxa"/>
          </w:tcPr>
          <w:p w:rsidR="00EF69A6" w:rsidRPr="00377F79" w:rsidRDefault="00EF69A6" w:rsidP="00650D98">
            <w:pPr>
              <w:rPr>
                <w:rFonts w:ascii="Arial" w:hAnsi="Arial" w:cs="Arial"/>
              </w:rPr>
            </w:pPr>
            <w:bookmarkStart w:id="23" w:name="OLE_LINK19"/>
            <w:r w:rsidRPr="00377F79">
              <w:rPr>
                <w:rFonts w:ascii="Arial" w:hAnsi="Arial" w:cs="Arial"/>
              </w:rPr>
              <w:t>Haemothorax</w:t>
            </w:r>
            <w:bookmarkEnd w:id="23"/>
          </w:p>
        </w:tc>
        <w:tc>
          <w:tcPr>
            <w:tcW w:w="1890" w:type="dxa"/>
          </w:tcPr>
          <w:p w:rsidR="00EF69A6" w:rsidRPr="00377F79" w:rsidRDefault="00EF69A6" w:rsidP="00650D98">
            <w:pPr>
              <w:jc w:val="right"/>
              <w:rPr>
                <w:rFonts w:ascii="Arial" w:hAnsi="Arial" w:cs="Arial"/>
              </w:rPr>
            </w:pPr>
            <w:r w:rsidRPr="00377F79">
              <w:rPr>
                <w:rFonts w:ascii="Arial" w:hAnsi="Arial" w:cs="Arial"/>
              </w:rPr>
              <w:t>5</w:t>
            </w:r>
          </w:p>
        </w:tc>
        <w:tc>
          <w:tcPr>
            <w:tcW w:w="2250" w:type="dxa"/>
          </w:tcPr>
          <w:p w:rsidR="00EF69A6" w:rsidRPr="00377F79" w:rsidRDefault="00EF69A6" w:rsidP="00650D98">
            <w:pPr>
              <w:jc w:val="right"/>
              <w:rPr>
                <w:rFonts w:ascii="Arial" w:hAnsi="Arial" w:cs="Arial"/>
              </w:rPr>
            </w:pPr>
            <w:r w:rsidRPr="00377F79">
              <w:rPr>
                <w:rFonts w:ascii="Arial" w:hAnsi="Arial" w:cs="Arial"/>
              </w:rPr>
              <w:t>20</w:t>
            </w:r>
          </w:p>
        </w:tc>
        <w:tc>
          <w:tcPr>
            <w:tcW w:w="3690" w:type="dxa"/>
            <w:vMerge/>
          </w:tcPr>
          <w:p w:rsidR="00EF69A6" w:rsidRPr="00504E79" w:rsidRDefault="00EF69A6" w:rsidP="00650D98"/>
        </w:tc>
      </w:tr>
    </w:tbl>
    <w:p w:rsidR="00147725" w:rsidRPr="00366813" w:rsidRDefault="00147725" w:rsidP="00147725">
      <w:pPr>
        <w:rPr>
          <w:rFonts w:ascii="Arial" w:hAnsi="Arial" w:cs="Arial"/>
          <w:i/>
        </w:rPr>
      </w:pPr>
      <w:r w:rsidRPr="00DB03A3">
        <w:rPr>
          <w:rFonts w:ascii="Arial" w:hAnsi="Arial" w:cs="Arial"/>
          <w:i/>
          <w:iCs/>
        </w:rPr>
        <w:t xml:space="preserve">Figure 3 – </w:t>
      </w:r>
      <w:r w:rsidRPr="00DB03A3">
        <w:rPr>
          <w:rFonts w:ascii="Arial" w:hAnsi="Arial" w:cs="Arial"/>
          <w:i/>
        </w:rPr>
        <w:t>Impact of MedDRA version changes – demotion of a PT</w:t>
      </w:r>
    </w:p>
    <w:p w:rsidR="00650D98" w:rsidRDefault="00650D98" w:rsidP="00EF69A6">
      <w:pPr>
        <w:rPr>
          <w:rFonts w:ascii="Arial" w:hAnsi="Arial" w:cs="Arial"/>
          <w:i/>
        </w:rPr>
      </w:pPr>
    </w:p>
    <w:p w:rsidR="00650D98" w:rsidRDefault="00650D98" w:rsidP="00650D98">
      <w:pPr>
        <w:rPr>
          <w:rFonts w:ascii="Arial" w:hAnsi="Arial" w:cs="Arial"/>
          <w:i/>
        </w:rPr>
      </w:pPr>
    </w:p>
    <w:p w:rsidR="00650D98" w:rsidRDefault="00650D98" w:rsidP="00650D98">
      <w:pPr>
        <w:rPr>
          <w:rFonts w:ascii="Arial" w:hAnsi="Arial" w:cs="Arial"/>
        </w:rPr>
      </w:pPr>
      <w:r w:rsidRPr="000F0B13">
        <w:rPr>
          <w:rFonts w:ascii="Arial" w:hAnsi="Arial" w:cs="Arial"/>
        </w:rPr>
        <w:t>Were changed as follows:</w:t>
      </w:r>
    </w:p>
    <w:p w:rsidR="00BE05BE" w:rsidRDefault="00BE05BE" w:rsidP="00EF69A6">
      <w:pPr>
        <w:rPr>
          <w:rFonts w:ascii="Arial" w:hAnsi="Arial" w:cs="Arial"/>
          <w:i/>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1890"/>
        <w:gridCol w:w="2250"/>
        <w:gridCol w:w="3690"/>
      </w:tblGrid>
      <w:tr w:rsidR="00BE05BE" w:rsidRPr="00504E79">
        <w:tc>
          <w:tcPr>
            <w:tcW w:w="2448" w:type="dxa"/>
            <w:vMerge w:val="restart"/>
            <w:shd w:val="clear" w:color="auto" w:fill="D9D9D9"/>
            <w:vAlign w:val="center"/>
          </w:tcPr>
          <w:p w:rsidR="00BE05BE" w:rsidRPr="00BE05BE" w:rsidRDefault="00BE05BE" w:rsidP="00D5138D">
            <w:pPr>
              <w:spacing w:before="60" w:after="60"/>
              <w:jc w:val="center"/>
              <w:rPr>
                <w:rFonts w:ascii="Arial" w:hAnsi="Arial"/>
                <w:b/>
              </w:rPr>
            </w:pPr>
            <w:r w:rsidRPr="00BE05BE">
              <w:rPr>
                <w:rFonts w:ascii="Arial" w:hAnsi="Arial"/>
                <w:b/>
              </w:rPr>
              <w:t>Preferred Terms</w:t>
            </w:r>
          </w:p>
        </w:tc>
        <w:tc>
          <w:tcPr>
            <w:tcW w:w="4140" w:type="dxa"/>
            <w:gridSpan w:val="2"/>
            <w:shd w:val="clear" w:color="auto" w:fill="D9D9D9"/>
          </w:tcPr>
          <w:p w:rsidR="00BE05BE" w:rsidRPr="00BE05BE" w:rsidRDefault="00BE05BE" w:rsidP="00D5138D">
            <w:pPr>
              <w:spacing w:before="60" w:after="60"/>
              <w:jc w:val="center"/>
              <w:rPr>
                <w:rFonts w:ascii="Arial" w:hAnsi="Arial"/>
                <w:b/>
              </w:rPr>
            </w:pPr>
            <w:r w:rsidRPr="00BE05BE">
              <w:rPr>
                <w:rFonts w:ascii="Arial" w:hAnsi="Arial"/>
                <w:b/>
              </w:rPr>
              <w:t>Events/Cases</w:t>
            </w:r>
          </w:p>
        </w:tc>
        <w:tc>
          <w:tcPr>
            <w:tcW w:w="3690" w:type="dxa"/>
            <w:vMerge w:val="restart"/>
            <w:shd w:val="clear" w:color="auto" w:fill="D9D9D9"/>
            <w:vAlign w:val="center"/>
          </w:tcPr>
          <w:p w:rsidR="00BE05BE" w:rsidRPr="00BE05BE" w:rsidRDefault="00BE05BE" w:rsidP="00D5138D">
            <w:pPr>
              <w:spacing w:before="60" w:after="60"/>
              <w:jc w:val="center"/>
              <w:rPr>
                <w:rFonts w:ascii="Arial" w:hAnsi="Arial"/>
                <w:b/>
              </w:rPr>
            </w:pPr>
            <w:r w:rsidRPr="00BE05BE">
              <w:rPr>
                <w:rFonts w:ascii="Arial" w:hAnsi="Arial"/>
                <w:b/>
              </w:rPr>
              <w:t>Comment</w:t>
            </w:r>
          </w:p>
        </w:tc>
      </w:tr>
      <w:tr w:rsidR="00BE05BE" w:rsidRPr="00504E79">
        <w:tc>
          <w:tcPr>
            <w:tcW w:w="2448" w:type="dxa"/>
            <w:vMerge/>
            <w:shd w:val="clear" w:color="auto" w:fill="D9D9D9"/>
          </w:tcPr>
          <w:p w:rsidR="00BE05BE" w:rsidRPr="00BE05BE" w:rsidRDefault="00BE05BE" w:rsidP="00D5138D">
            <w:pPr>
              <w:spacing w:before="60" w:after="60"/>
              <w:rPr>
                <w:rFonts w:ascii="Arial" w:hAnsi="Arial"/>
                <w:b/>
              </w:rPr>
            </w:pPr>
          </w:p>
        </w:tc>
        <w:tc>
          <w:tcPr>
            <w:tcW w:w="1890" w:type="dxa"/>
            <w:shd w:val="clear" w:color="auto" w:fill="D9D9D9"/>
          </w:tcPr>
          <w:p w:rsidR="00BE05BE" w:rsidRPr="00BE05BE" w:rsidRDefault="00BE05BE" w:rsidP="00E13CB0">
            <w:pPr>
              <w:spacing w:before="60" w:after="60"/>
              <w:jc w:val="center"/>
              <w:rPr>
                <w:rFonts w:ascii="Arial" w:hAnsi="Arial"/>
                <w:b/>
              </w:rPr>
            </w:pPr>
            <w:r w:rsidRPr="00BE05BE">
              <w:rPr>
                <w:rFonts w:ascii="Arial" w:hAnsi="Arial"/>
                <w:b/>
              </w:rPr>
              <w:t>Version 17.0</w:t>
            </w:r>
          </w:p>
        </w:tc>
        <w:tc>
          <w:tcPr>
            <w:tcW w:w="2250" w:type="dxa"/>
            <w:shd w:val="clear" w:color="auto" w:fill="D9D9D9"/>
          </w:tcPr>
          <w:p w:rsidR="00BE05BE" w:rsidRPr="00BE05BE" w:rsidRDefault="00BE05BE" w:rsidP="00E13CB0">
            <w:pPr>
              <w:spacing w:before="60" w:after="60"/>
              <w:jc w:val="center"/>
              <w:rPr>
                <w:rFonts w:ascii="Arial" w:hAnsi="Arial"/>
                <w:b/>
              </w:rPr>
            </w:pPr>
            <w:r w:rsidRPr="00BE05BE">
              <w:rPr>
                <w:rFonts w:ascii="Arial" w:hAnsi="Arial"/>
                <w:b/>
              </w:rPr>
              <w:t>Version 17.1</w:t>
            </w:r>
          </w:p>
        </w:tc>
        <w:tc>
          <w:tcPr>
            <w:tcW w:w="3690" w:type="dxa"/>
            <w:vMerge/>
            <w:shd w:val="clear" w:color="auto" w:fill="D9D9D9"/>
          </w:tcPr>
          <w:p w:rsidR="00BE05BE" w:rsidRPr="00BE05BE" w:rsidRDefault="00BE05BE" w:rsidP="00D5138D">
            <w:pPr>
              <w:spacing w:before="60" w:after="60"/>
              <w:rPr>
                <w:rFonts w:ascii="Arial" w:hAnsi="Arial"/>
                <w:b/>
              </w:rPr>
            </w:pPr>
          </w:p>
        </w:tc>
      </w:tr>
      <w:tr w:rsidR="00BE05BE" w:rsidRPr="00504E79">
        <w:trPr>
          <w:trHeight w:val="718"/>
        </w:trPr>
        <w:tc>
          <w:tcPr>
            <w:tcW w:w="2448" w:type="dxa"/>
          </w:tcPr>
          <w:p w:rsidR="00BE05BE" w:rsidRPr="00BE05BE" w:rsidRDefault="00BE05BE" w:rsidP="00D5138D">
            <w:pPr>
              <w:pStyle w:val="BodyText2"/>
              <w:spacing w:before="60" w:after="60"/>
              <w:rPr>
                <w:rFonts w:ascii="Arial" w:hAnsi="Arial" w:cs="Arial"/>
              </w:rPr>
            </w:pPr>
            <w:r w:rsidRPr="00BE05BE">
              <w:rPr>
                <w:rFonts w:ascii="Arial" w:hAnsi="Arial" w:cs="Arial"/>
              </w:rPr>
              <w:t>Chest tube insertion</w:t>
            </w:r>
          </w:p>
        </w:tc>
        <w:tc>
          <w:tcPr>
            <w:tcW w:w="1890" w:type="dxa"/>
          </w:tcPr>
          <w:p w:rsidR="00BE05BE" w:rsidRPr="00BE05BE" w:rsidRDefault="00BE05BE" w:rsidP="00D5138D">
            <w:pPr>
              <w:spacing w:before="60" w:after="60"/>
              <w:jc w:val="center"/>
              <w:rPr>
                <w:rFonts w:ascii="Arial" w:hAnsi="Arial"/>
              </w:rPr>
            </w:pPr>
            <w:r w:rsidRPr="00BE05BE">
              <w:rPr>
                <w:rFonts w:ascii="Arial" w:hAnsi="Arial"/>
              </w:rPr>
              <w:t>15</w:t>
            </w:r>
          </w:p>
        </w:tc>
        <w:tc>
          <w:tcPr>
            <w:tcW w:w="2250" w:type="dxa"/>
          </w:tcPr>
          <w:p w:rsidR="00BE05BE" w:rsidRPr="00BE05BE" w:rsidRDefault="00BE05BE" w:rsidP="00D5138D">
            <w:pPr>
              <w:tabs>
                <w:tab w:val="left" w:pos="2232"/>
              </w:tabs>
              <w:spacing w:before="60" w:after="60"/>
              <w:jc w:val="center"/>
              <w:rPr>
                <w:rFonts w:ascii="Arial" w:hAnsi="Arial"/>
              </w:rPr>
            </w:pPr>
            <w:r w:rsidRPr="00BE05BE">
              <w:rPr>
                <w:rFonts w:ascii="Arial" w:hAnsi="Arial"/>
              </w:rPr>
              <w:t>0</w:t>
            </w:r>
          </w:p>
          <w:p w:rsidR="00BE05BE" w:rsidRPr="00BE05BE" w:rsidRDefault="00BE05BE" w:rsidP="00D5138D">
            <w:pPr>
              <w:tabs>
                <w:tab w:val="left" w:pos="2232"/>
              </w:tabs>
              <w:spacing w:before="60" w:after="60"/>
              <w:jc w:val="center"/>
              <w:rPr>
                <w:rFonts w:ascii="Arial" w:hAnsi="Arial"/>
              </w:rPr>
            </w:pPr>
            <w:r w:rsidRPr="00BE05BE">
              <w:rPr>
                <w:rFonts w:ascii="Arial" w:hAnsi="Arial"/>
              </w:rPr>
              <w:t>(no longer a PT)</w:t>
            </w:r>
          </w:p>
        </w:tc>
        <w:tc>
          <w:tcPr>
            <w:tcW w:w="3690" w:type="dxa"/>
            <w:vMerge w:val="restart"/>
          </w:tcPr>
          <w:p w:rsidR="00BE05BE" w:rsidRPr="00BE05BE" w:rsidRDefault="00BE05BE" w:rsidP="00D5138D">
            <w:pPr>
              <w:spacing w:before="60" w:after="60"/>
              <w:jc w:val="center"/>
              <w:rPr>
                <w:rFonts w:ascii="Arial" w:hAnsi="Arial"/>
              </w:rPr>
            </w:pPr>
            <w:r w:rsidRPr="00BE05BE">
              <w:rPr>
                <w:rFonts w:ascii="Arial" w:hAnsi="Arial"/>
              </w:rPr>
              <w:t>In MedDRA Version 17.0</w:t>
            </w:r>
            <w:r w:rsidRPr="00BE05BE">
              <w:rPr>
                <w:rFonts w:ascii="Arial" w:hAnsi="Arial"/>
                <w:i/>
              </w:rPr>
              <w:t>, Chest tube insertion</w:t>
            </w:r>
            <w:r w:rsidRPr="00BE05BE">
              <w:rPr>
                <w:rFonts w:ascii="Arial" w:hAnsi="Arial"/>
              </w:rPr>
              <w:t xml:space="preserve"> was a PT and in Version 17.1 it was demoted to an LLT under PT </w:t>
            </w:r>
            <w:r w:rsidRPr="00BE05BE">
              <w:rPr>
                <w:rFonts w:ascii="Arial" w:hAnsi="Arial"/>
                <w:i/>
              </w:rPr>
              <w:t>Thoracostomy</w:t>
            </w:r>
          </w:p>
        </w:tc>
      </w:tr>
      <w:tr w:rsidR="00BE05BE" w:rsidRPr="00504E79">
        <w:tc>
          <w:tcPr>
            <w:tcW w:w="2448" w:type="dxa"/>
          </w:tcPr>
          <w:p w:rsidR="00BE05BE" w:rsidRPr="00BE05BE" w:rsidRDefault="00BE05BE" w:rsidP="00D5138D">
            <w:pPr>
              <w:spacing w:before="60" w:after="60"/>
              <w:rPr>
                <w:rFonts w:ascii="Arial" w:hAnsi="Arial"/>
              </w:rPr>
            </w:pPr>
            <w:r w:rsidRPr="00BE05BE">
              <w:rPr>
                <w:rFonts w:ascii="Arial" w:hAnsi="Arial"/>
              </w:rPr>
              <w:t>Thoracostomy</w:t>
            </w:r>
          </w:p>
        </w:tc>
        <w:tc>
          <w:tcPr>
            <w:tcW w:w="1890" w:type="dxa"/>
          </w:tcPr>
          <w:p w:rsidR="00BE05BE" w:rsidRPr="00BE05BE" w:rsidRDefault="00BE05BE" w:rsidP="00D5138D">
            <w:pPr>
              <w:spacing w:before="60" w:after="60"/>
              <w:jc w:val="center"/>
              <w:rPr>
                <w:rFonts w:ascii="Arial" w:hAnsi="Arial"/>
              </w:rPr>
            </w:pPr>
            <w:r w:rsidRPr="00BE05BE">
              <w:rPr>
                <w:rFonts w:ascii="Arial" w:hAnsi="Arial"/>
              </w:rPr>
              <w:t>5</w:t>
            </w:r>
          </w:p>
        </w:tc>
        <w:tc>
          <w:tcPr>
            <w:tcW w:w="2250" w:type="dxa"/>
          </w:tcPr>
          <w:p w:rsidR="00BE05BE" w:rsidRPr="00BE05BE" w:rsidRDefault="00BE05BE" w:rsidP="00D5138D">
            <w:pPr>
              <w:spacing w:before="60" w:after="60"/>
              <w:jc w:val="center"/>
              <w:rPr>
                <w:rFonts w:ascii="Arial" w:hAnsi="Arial"/>
              </w:rPr>
            </w:pPr>
            <w:r w:rsidRPr="00BE05BE">
              <w:rPr>
                <w:rFonts w:ascii="Arial" w:hAnsi="Arial"/>
              </w:rPr>
              <w:t>20</w:t>
            </w:r>
          </w:p>
        </w:tc>
        <w:tc>
          <w:tcPr>
            <w:tcW w:w="3690" w:type="dxa"/>
            <w:vMerge/>
          </w:tcPr>
          <w:p w:rsidR="00BE05BE" w:rsidRPr="00504E79" w:rsidRDefault="00BE05BE" w:rsidP="00D5138D">
            <w:pPr>
              <w:spacing w:before="60" w:after="60"/>
            </w:pPr>
          </w:p>
        </w:tc>
      </w:tr>
    </w:tbl>
    <w:p w:rsidR="00EF69A6" w:rsidRPr="00D65C6F" w:rsidRDefault="00EF69A6" w:rsidP="00EF69A6">
      <w:pPr>
        <w:rPr>
          <w:rFonts w:ascii="Arial" w:hAnsi="Arial" w:cs="Arial"/>
          <w:i/>
        </w:rPr>
      </w:pPr>
    </w:p>
    <w:sectPr w:rsidR="00EF69A6" w:rsidRPr="00D65C6F" w:rsidSect="00267C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D98" w:rsidRDefault="00650D98">
      <w:r>
        <w:separator/>
      </w:r>
    </w:p>
  </w:endnote>
  <w:endnote w:type="continuationSeparator" w:id="0">
    <w:p w:rsidR="00650D98" w:rsidRDefault="00650D9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98" w:rsidRDefault="00F1581A">
    <w:pPr>
      <w:pStyle w:val="Footer"/>
      <w:framePr w:wrap="around" w:vAnchor="text" w:hAnchor="margin" w:xAlign="right" w:y="1"/>
      <w:rPr>
        <w:rStyle w:val="PageNumber"/>
      </w:rPr>
    </w:pPr>
    <w:r>
      <w:rPr>
        <w:rStyle w:val="PageNumber"/>
      </w:rPr>
      <w:fldChar w:fldCharType="begin"/>
    </w:r>
    <w:r w:rsidR="00650D98">
      <w:rPr>
        <w:rStyle w:val="PageNumber"/>
      </w:rPr>
      <w:instrText xml:space="preserve">PAGE  </w:instrText>
    </w:r>
    <w:r>
      <w:rPr>
        <w:rStyle w:val="PageNumber"/>
      </w:rPr>
      <w:fldChar w:fldCharType="end"/>
    </w:r>
  </w:p>
  <w:p w:rsidR="00650D98" w:rsidRDefault="00650D98">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98" w:rsidRDefault="00F1581A">
    <w:pPr>
      <w:pStyle w:val="Footer"/>
      <w:framePr w:wrap="around" w:vAnchor="text" w:hAnchor="margin" w:xAlign="right" w:y="1"/>
      <w:rPr>
        <w:rStyle w:val="PageNumber"/>
      </w:rPr>
    </w:pPr>
    <w:r>
      <w:rPr>
        <w:rStyle w:val="PageNumber"/>
      </w:rPr>
      <w:fldChar w:fldCharType="begin"/>
    </w:r>
    <w:r w:rsidR="00650D98">
      <w:rPr>
        <w:rStyle w:val="PageNumber"/>
      </w:rPr>
      <w:instrText xml:space="preserve">PAGE  </w:instrText>
    </w:r>
    <w:r>
      <w:rPr>
        <w:rStyle w:val="PageNumber"/>
      </w:rPr>
      <w:fldChar w:fldCharType="separate"/>
    </w:r>
    <w:r w:rsidR="006E6E68">
      <w:rPr>
        <w:rStyle w:val="PageNumber"/>
        <w:noProof/>
      </w:rPr>
      <w:t>3</w:t>
    </w:r>
    <w:r>
      <w:rPr>
        <w:rStyle w:val="PageNumber"/>
      </w:rPr>
      <w:fldChar w:fldCharType="end"/>
    </w:r>
  </w:p>
  <w:p w:rsidR="00650D98" w:rsidRDefault="00650D98">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98" w:rsidRDefault="00650D9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D98" w:rsidRDefault="00650D98">
      <w:r>
        <w:separator/>
      </w:r>
    </w:p>
  </w:footnote>
  <w:footnote w:type="continuationSeparator" w:id="0">
    <w:p w:rsidR="00650D98" w:rsidRDefault="00650D9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98" w:rsidRDefault="00650D98">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98" w:rsidRDefault="00650D98">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98" w:rsidRDefault="00650D98">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00B5"/>
    <w:multiLevelType w:val="multilevel"/>
    <w:tmpl w:val="91C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3">
    <w:nsid w:val="2CFA216C"/>
    <w:multiLevelType w:val="hybridMultilevel"/>
    <w:tmpl w:val="EE3E6320"/>
    <w:lvl w:ilvl="0" w:tplc="B510A9AC">
      <w:start w:val="1"/>
      <w:numFmt w:val="bullet"/>
      <w:pStyle w:val="BulletBodytext2"/>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start w:val="1"/>
      <w:numFmt w:val="bullet"/>
      <w:lvlText w:val=""/>
      <w:lvlJc w:val="left"/>
      <w:pPr>
        <w:tabs>
          <w:tab w:val="num" w:pos="3456"/>
        </w:tabs>
        <w:ind w:left="3456" w:hanging="360"/>
      </w:pPr>
      <w:rPr>
        <w:rFonts w:ascii="Symbol" w:hAnsi="Symbol" w:hint="default"/>
      </w:rPr>
    </w:lvl>
    <w:lvl w:ilvl="4" w:tplc="0409000B">
      <w:start w:val="1"/>
      <w:numFmt w:val="bullet"/>
      <w:lvlText w:val=""/>
      <w:lvlJc w:val="left"/>
      <w:pPr>
        <w:tabs>
          <w:tab w:val="num" w:pos="4176"/>
        </w:tabs>
        <w:ind w:left="4176" w:hanging="360"/>
      </w:pPr>
      <w:rPr>
        <w:rFonts w:ascii="Wingdings" w:hAnsi="Wingdings"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nsid w:val="3ABA2BB1"/>
    <w:multiLevelType w:val="multilevel"/>
    <w:tmpl w:val="DC32F5A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BB361FE"/>
    <w:multiLevelType w:val="hybridMultilevel"/>
    <w:tmpl w:val="B6F8D53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4B3973"/>
    <w:multiLevelType w:val="multilevel"/>
    <w:tmpl w:val="86BED0BC"/>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2C2D84"/>
    <w:multiLevelType w:val="multilevel"/>
    <w:tmpl w:val="A7526E5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36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num w:numId="1">
    <w:abstractNumId w:val="5"/>
  </w:num>
  <w:num w:numId="2">
    <w:abstractNumId w:val="2"/>
  </w:num>
  <w:num w:numId="3">
    <w:abstractNumId w:val="3"/>
  </w:num>
  <w:num w:numId="4">
    <w:abstractNumId w:val="9"/>
  </w:num>
  <w:num w:numId="5">
    <w:abstractNumId w:val="0"/>
  </w:num>
  <w:num w:numId="6">
    <w:abstractNumId w:val="7"/>
  </w:num>
  <w:num w:numId="7">
    <w:abstractNumId w:val="4"/>
  </w:num>
  <w:num w:numId="8">
    <w:abstractNumId w:val="6"/>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701"/>
  <w:doNotTrackMoves/>
  <w:defaultTabStop w:val="720"/>
  <w:noPunctuationKerning/>
  <w:characterSpacingControl w:val="doNotCompress"/>
  <w:hdrShapeDefaults>
    <o:shapedefaults v:ext="edit" spidmax="2050">
      <o:colormru v:ext="edit" colors="#ffc,#ff9"/>
      <o:colormenu v:ext="edit" fillcolor="none"/>
    </o:shapedefaults>
  </w:hdrShapeDefaults>
  <w:footnotePr>
    <w:footnote w:id="-1"/>
    <w:footnote w:id="0"/>
  </w:footnotePr>
  <w:endnotePr>
    <w:endnote w:id="-1"/>
    <w:endnote w:id="0"/>
  </w:endnotePr>
  <w:compat>
    <w:useFELayout/>
  </w:compat>
  <w:rsids>
    <w:rsidRoot w:val="00295F4B"/>
    <w:rsid w:val="00012386"/>
    <w:rsid w:val="000139D9"/>
    <w:rsid w:val="00022B36"/>
    <w:rsid w:val="00036B8C"/>
    <w:rsid w:val="00050490"/>
    <w:rsid w:val="0006577E"/>
    <w:rsid w:val="0007026C"/>
    <w:rsid w:val="0007112C"/>
    <w:rsid w:val="00071AC8"/>
    <w:rsid w:val="00077BE6"/>
    <w:rsid w:val="00082D5A"/>
    <w:rsid w:val="00092FBA"/>
    <w:rsid w:val="000A0480"/>
    <w:rsid w:val="000A131B"/>
    <w:rsid w:val="000B4D5C"/>
    <w:rsid w:val="000D69FE"/>
    <w:rsid w:val="000E7B89"/>
    <w:rsid w:val="000F0B13"/>
    <w:rsid w:val="000F2377"/>
    <w:rsid w:val="00131765"/>
    <w:rsid w:val="001401A5"/>
    <w:rsid w:val="0014510F"/>
    <w:rsid w:val="00147725"/>
    <w:rsid w:val="001533E9"/>
    <w:rsid w:val="00163557"/>
    <w:rsid w:val="001700E0"/>
    <w:rsid w:val="001854C8"/>
    <w:rsid w:val="00187F3A"/>
    <w:rsid w:val="00194E63"/>
    <w:rsid w:val="001A6AF8"/>
    <w:rsid w:val="001C74CF"/>
    <w:rsid w:val="001D474D"/>
    <w:rsid w:val="001E4017"/>
    <w:rsid w:val="001F4A62"/>
    <w:rsid w:val="001F4CA1"/>
    <w:rsid w:val="001F6B98"/>
    <w:rsid w:val="00232C0C"/>
    <w:rsid w:val="00243603"/>
    <w:rsid w:val="00247D38"/>
    <w:rsid w:val="00267C16"/>
    <w:rsid w:val="00275E2F"/>
    <w:rsid w:val="002826AE"/>
    <w:rsid w:val="002908A7"/>
    <w:rsid w:val="0029315F"/>
    <w:rsid w:val="00295F4B"/>
    <w:rsid w:val="00296486"/>
    <w:rsid w:val="002A145D"/>
    <w:rsid w:val="002A1877"/>
    <w:rsid w:val="002D1C87"/>
    <w:rsid w:val="002D1D6A"/>
    <w:rsid w:val="002E5020"/>
    <w:rsid w:val="002E5C99"/>
    <w:rsid w:val="002E6ABE"/>
    <w:rsid w:val="003010DD"/>
    <w:rsid w:val="003028B8"/>
    <w:rsid w:val="003037D2"/>
    <w:rsid w:val="003051C8"/>
    <w:rsid w:val="00313AFC"/>
    <w:rsid w:val="00326B88"/>
    <w:rsid w:val="003362C4"/>
    <w:rsid w:val="00342535"/>
    <w:rsid w:val="0034598C"/>
    <w:rsid w:val="0034706E"/>
    <w:rsid w:val="003626D5"/>
    <w:rsid w:val="00366813"/>
    <w:rsid w:val="0037083B"/>
    <w:rsid w:val="00377F79"/>
    <w:rsid w:val="0038074F"/>
    <w:rsid w:val="00386F3C"/>
    <w:rsid w:val="00391368"/>
    <w:rsid w:val="003948C4"/>
    <w:rsid w:val="00397BEE"/>
    <w:rsid w:val="003B07A1"/>
    <w:rsid w:val="003C713E"/>
    <w:rsid w:val="003E0B68"/>
    <w:rsid w:val="003E3638"/>
    <w:rsid w:val="003E5FF7"/>
    <w:rsid w:val="004035B7"/>
    <w:rsid w:val="00412F5B"/>
    <w:rsid w:val="00423322"/>
    <w:rsid w:val="004235F4"/>
    <w:rsid w:val="00433F9E"/>
    <w:rsid w:val="00444024"/>
    <w:rsid w:val="00453119"/>
    <w:rsid w:val="00454C71"/>
    <w:rsid w:val="004872F0"/>
    <w:rsid w:val="004A6C74"/>
    <w:rsid w:val="004C0577"/>
    <w:rsid w:val="004D157F"/>
    <w:rsid w:val="004D6B83"/>
    <w:rsid w:val="004E1A6F"/>
    <w:rsid w:val="00535232"/>
    <w:rsid w:val="0055395A"/>
    <w:rsid w:val="005559C6"/>
    <w:rsid w:val="00565C54"/>
    <w:rsid w:val="0057502F"/>
    <w:rsid w:val="00596718"/>
    <w:rsid w:val="005A291C"/>
    <w:rsid w:val="005A676A"/>
    <w:rsid w:val="005C7546"/>
    <w:rsid w:val="005D5E5F"/>
    <w:rsid w:val="005E4519"/>
    <w:rsid w:val="005E60D9"/>
    <w:rsid w:val="00614388"/>
    <w:rsid w:val="006165AA"/>
    <w:rsid w:val="0062086A"/>
    <w:rsid w:val="00623CDC"/>
    <w:rsid w:val="00633CAA"/>
    <w:rsid w:val="00650D98"/>
    <w:rsid w:val="00650FD4"/>
    <w:rsid w:val="00685FF3"/>
    <w:rsid w:val="00686A6E"/>
    <w:rsid w:val="00695BEF"/>
    <w:rsid w:val="006967A7"/>
    <w:rsid w:val="006D1CDA"/>
    <w:rsid w:val="006D2244"/>
    <w:rsid w:val="006E4E97"/>
    <w:rsid w:val="006E6E68"/>
    <w:rsid w:val="006E709C"/>
    <w:rsid w:val="007045EF"/>
    <w:rsid w:val="0070471F"/>
    <w:rsid w:val="00715283"/>
    <w:rsid w:val="0072313F"/>
    <w:rsid w:val="00724D3E"/>
    <w:rsid w:val="00725F44"/>
    <w:rsid w:val="0073179F"/>
    <w:rsid w:val="00732003"/>
    <w:rsid w:val="007400F7"/>
    <w:rsid w:val="00744F21"/>
    <w:rsid w:val="007544BA"/>
    <w:rsid w:val="00765DFE"/>
    <w:rsid w:val="00793840"/>
    <w:rsid w:val="007A443E"/>
    <w:rsid w:val="007B608B"/>
    <w:rsid w:val="007B705C"/>
    <w:rsid w:val="007C6B30"/>
    <w:rsid w:val="007D3545"/>
    <w:rsid w:val="007F2C0D"/>
    <w:rsid w:val="007F4F73"/>
    <w:rsid w:val="00803EA8"/>
    <w:rsid w:val="00814575"/>
    <w:rsid w:val="008408A3"/>
    <w:rsid w:val="008509DC"/>
    <w:rsid w:val="00852E9E"/>
    <w:rsid w:val="00865611"/>
    <w:rsid w:val="00870997"/>
    <w:rsid w:val="008907EF"/>
    <w:rsid w:val="008B0A58"/>
    <w:rsid w:val="008B464D"/>
    <w:rsid w:val="008B6EBD"/>
    <w:rsid w:val="008C2B68"/>
    <w:rsid w:val="008D24AE"/>
    <w:rsid w:val="008F01D6"/>
    <w:rsid w:val="008F0BB3"/>
    <w:rsid w:val="008F39CD"/>
    <w:rsid w:val="008F5FED"/>
    <w:rsid w:val="009136C1"/>
    <w:rsid w:val="00932551"/>
    <w:rsid w:val="0093270C"/>
    <w:rsid w:val="0093674E"/>
    <w:rsid w:val="00953B1B"/>
    <w:rsid w:val="00955A98"/>
    <w:rsid w:val="00956CD6"/>
    <w:rsid w:val="00963CF9"/>
    <w:rsid w:val="00964CA4"/>
    <w:rsid w:val="00977E48"/>
    <w:rsid w:val="009943B3"/>
    <w:rsid w:val="009E54AC"/>
    <w:rsid w:val="009F09E1"/>
    <w:rsid w:val="00A14DA6"/>
    <w:rsid w:val="00A17D13"/>
    <w:rsid w:val="00A21F95"/>
    <w:rsid w:val="00A22E56"/>
    <w:rsid w:val="00A3163C"/>
    <w:rsid w:val="00A46904"/>
    <w:rsid w:val="00A5410D"/>
    <w:rsid w:val="00A66E24"/>
    <w:rsid w:val="00A831B2"/>
    <w:rsid w:val="00A8569F"/>
    <w:rsid w:val="00A95F8C"/>
    <w:rsid w:val="00AA0A2F"/>
    <w:rsid w:val="00AB589D"/>
    <w:rsid w:val="00AB7E82"/>
    <w:rsid w:val="00AC5386"/>
    <w:rsid w:val="00AE416C"/>
    <w:rsid w:val="00AE79BF"/>
    <w:rsid w:val="00AF0013"/>
    <w:rsid w:val="00AF337B"/>
    <w:rsid w:val="00AF6083"/>
    <w:rsid w:val="00B17AAA"/>
    <w:rsid w:val="00B2291E"/>
    <w:rsid w:val="00B42F85"/>
    <w:rsid w:val="00B43E90"/>
    <w:rsid w:val="00B47D6A"/>
    <w:rsid w:val="00B657FD"/>
    <w:rsid w:val="00B72B2D"/>
    <w:rsid w:val="00B72B97"/>
    <w:rsid w:val="00B75FF8"/>
    <w:rsid w:val="00B85605"/>
    <w:rsid w:val="00B9076F"/>
    <w:rsid w:val="00BA5722"/>
    <w:rsid w:val="00BC6FBF"/>
    <w:rsid w:val="00BD731E"/>
    <w:rsid w:val="00BE05BE"/>
    <w:rsid w:val="00BF0214"/>
    <w:rsid w:val="00C1401F"/>
    <w:rsid w:val="00C17A4F"/>
    <w:rsid w:val="00C3208C"/>
    <w:rsid w:val="00C46099"/>
    <w:rsid w:val="00C53E02"/>
    <w:rsid w:val="00C57540"/>
    <w:rsid w:val="00C6114E"/>
    <w:rsid w:val="00C63224"/>
    <w:rsid w:val="00C67974"/>
    <w:rsid w:val="00C75A93"/>
    <w:rsid w:val="00C87943"/>
    <w:rsid w:val="00C90BEA"/>
    <w:rsid w:val="00C95085"/>
    <w:rsid w:val="00CA0561"/>
    <w:rsid w:val="00CB5AEA"/>
    <w:rsid w:val="00CB7CE8"/>
    <w:rsid w:val="00CC59BA"/>
    <w:rsid w:val="00CC716B"/>
    <w:rsid w:val="00CE3499"/>
    <w:rsid w:val="00CE55BB"/>
    <w:rsid w:val="00D04DDA"/>
    <w:rsid w:val="00D07735"/>
    <w:rsid w:val="00D10CB1"/>
    <w:rsid w:val="00D1320C"/>
    <w:rsid w:val="00D16F0D"/>
    <w:rsid w:val="00D21393"/>
    <w:rsid w:val="00D238CA"/>
    <w:rsid w:val="00D24CD6"/>
    <w:rsid w:val="00D53350"/>
    <w:rsid w:val="00D573D1"/>
    <w:rsid w:val="00D60B67"/>
    <w:rsid w:val="00D61B6A"/>
    <w:rsid w:val="00D65C6F"/>
    <w:rsid w:val="00D80E62"/>
    <w:rsid w:val="00D87699"/>
    <w:rsid w:val="00DA4E56"/>
    <w:rsid w:val="00DB03A3"/>
    <w:rsid w:val="00DB7B2B"/>
    <w:rsid w:val="00DC1C2F"/>
    <w:rsid w:val="00DC3158"/>
    <w:rsid w:val="00DC3271"/>
    <w:rsid w:val="00DC396E"/>
    <w:rsid w:val="00DD2F58"/>
    <w:rsid w:val="00DD51E1"/>
    <w:rsid w:val="00DF0451"/>
    <w:rsid w:val="00DF1117"/>
    <w:rsid w:val="00E15710"/>
    <w:rsid w:val="00E413D6"/>
    <w:rsid w:val="00E558BE"/>
    <w:rsid w:val="00E576F4"/>
    <w:rsid w:val="00E65E3E"/>
    <w:rsid w:val="00E663A8"/>
    <w:rsid w:val="00EB57BF"/>
    <w:rsid w:val="00EC0BF0"/>
    <w:rsid w:val="00EC642D"/>
    <w:rsid w:val="00ED09D4"/>
    <w:rsid w:val="00EF69A6"/>
    <w:rsid w:val="00F05DF8"/>
    <w:rsid w:val="00F074EA"/>
    <w:rsid w:val="00F1581A"/>
    <w:rsid w:val="00F16A29"/>
    <w:rsid w:val="00F17E6A"/>
    <w:rsid w:val="00F20B91"/>
    <w:rsid w:val="00F23041"/>
    <w:rsid w:val="00F31B78"/>
    <w:rsid w:val="00F57E0C"/>
    <w:rsid w:val="00F75208"/>
    <w:rsid w:val="00FA3795"/>
    <w:rsid w:val="00FA765D"/>
    <w:rsid w:val="00FC56DC"/>
    <w:rsid w:val="00FC654A"/>
    <w:rsid w:val="00FD4F31"/>
    <w:rsid w:val="00FF5094"/>
  </w:rsids>
  <m:mathPr>
    <m:mathFont m:val="American Typewriter Light"/>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ff9"/>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B8C"/>
  </w:style>
  <w:style w:type="paragraph" w:styleId="Heading1">
    <w:name w:val="heading 1"/>
    <w:basedOn w:val="Normal"/>
    <w:next w:val="Normal"/>
    <w:qFormat/>
    <w:rsid w:val="00267C16"/>
    <w:pPr>
      <w:keepNext/>
      <w:outlineLvl w:val="0"/>
    </w:pPr>
    <w:rPr>
      <w:b/>
      <w:bCs/>
    </w:rPr>
  </w:style>
  <w:style w:type="paragraph" w:styleId="Heading2">
    <w:name w:val="heading 2"/>
    <w:basedOn w:val="Normal"/>
    <w:next w:val="Normal"/>
    <w:qFormat/>
    <w:rsid w:val="00077BE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53B1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831B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267C16"/>
    <w:pPr>
      <w:tabs>
        <w:tab w:val="left" w:pos="4230"/>
      </w:tabs>
      <w:jc w:val="center"/>
    </w:pPr>
    <w:rPr>
      <w:b/>
      <w:i/>
      <w:iCs/>
      <w:sz w:val="48"/>
      <w:bdr w:val="single" w:sz="4" w:space="0" w:color="auto"/>
    </w:rPr>
  </w:style>
  <w:style w:type="paragraph" w:styleId="Footer">
    <w:name w:val="footer"/>
    <w:basedOn w:val="Normal"/>
    <w:rsid w:val="00267C16"/>
    <w:pPr>
      <w:tabs>
        <w:tab w:val="center" w:pos="4320"/>
        <w:tab w:val="right" w:pos="8640"/>
      </w:tabs>
    </w:pPr>
  </w:style>
  <w:style w:type="character" w:styleId="PageNumber">
    <w:name w:val="page number"/>
    <w:basedOn w:val="DefaultParagraphFont"/>
    <w:rsid w:val="00267C16"/>
  </w:style>
  <w:style w:type="paragraph" w:styleId="BodyTextIndent2">
    <w:name w:val="Body Text Indent 2"/>
    <w:basedOn w:val="Normal"/>
    <w:rsid w:val="00267C16"/>
    <w:pPr>
      <w:ind w:left="720"/>
    </w:pPr>
    <w:rPr>
      <w:i/>
      <w:szCs w:val="20"/>
    </w:rPr>
  </w:style>
  <w:style w:type="paragraph" w:customStyle="1" w:styleId="NormalIndent1">
    <w:name w:val="Normal Indent1"/>
    <w:basedOn w:val="Normal"/>
    <w:rsid w:val="00C57540"/>
    <w:pPr>
      <w:tabs>
        <w:tab w:val="left" w:pos="540"/>
      </w:tabs>
      <w:spacing w:after="360"/>
      <w:ind w:left="540"/>
      <w:jc w:val="both"/>
    </w:pPr>
    <w:rPr>
      <w:rFonts w:ascii="Arial" w:hAnsi="Arial"/>
      <w:iCs/>
      <w:sz w:val="22"/>
    </w:rPr>
  </w:style>
  <w:style w:type="paragraph" w:styleId="Date">
    <w:name w:val="Date"/>
    <w:basedOn w:val="Normal"/>
    <w:next w:val="Normal"/>
    <w:rsid w:val="00814575"/>
  </w:style>
  <w:style w:type="paragraph" w:styleId="BalloonText">
    <w:name w:val="Balloon Text"/>
    <w:basedOn w:val="Normal"/>
    <w:semiHidden/>
    <w:rsid w:val="00AF337B"/>
    <w:rPr>
      <w:rFonts w:ascii="Tahoma" w:hAnsi="Tahoma" w:cs="Tahoma"/>
      <w:sz w:val="16"/>
      <w:szCs w:val="16"/>
    </w:rPr>
  </w:style>
  <w:style w:type="paragraph" w:styleId="BodyText2">
    <w:name w:val="Body Text 2"/>
    <w:basedOn w:val="Normal"/>
    <w:rsid w:val="006D2244"/>
    <w:pPr>
      <w:spacing w:after="120" w:line="480" w:lineRule="auto"/>
    </w:pPr>
  </w:style>
  <w:style w:type="paragraph" w:customStyle="1" w:styleId="BulletBodytext2">
    <w:name w:val="Bullet Body text 2"/>
    <w:basedOn w:val="BodyText2"/>
    <w:rsid w:val="00077BE6"/>
    <w:pPr>
      <w:numPr>
        <w:numId w:val="3"/>
      </w:numPr>
      <w:tabs>
        <w:tab w:val="left" w:pos="864"/>
      </w:tabs>
      <w:spacing w:line="240" w:lineRule="auto"/>
    </w:pPr>
    <w:rPr>
      <w:rFonts w:eastAsia="MS Mincho"/>
      <w:szCs w:val="20"/>
    </w:rPr>
  </w:style>
  <w:style w:type="character" w:styleId="Hyperlink">
    <w:name w:val="Hyperlink"/>
    <w:basedOn w:val="DefaultParagraphFont"/>
    <w:uiPriority w:val="99"/>
    <w:rsid w:val="00953B1B"/>
    <w:rPr>
      <w:color w:val="0000FF"/>
      <w:u w:val="single"/>
    </w:rPr>
  </w:style>
  <w:style w:type="paragraph" w:styleId="Header">
    <w:name w:val="header"/>
    <w:basedOn w:val="Normal"/>
    <w:link w:val="HeaderChar"/>
    <w:uiPriority w:val="99"/>
    <w:unhideWhenUsed/>
    <w:rsid w:val="00D24CD6"/>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D24CD6"/>
    <w:rPr>
      <w:rFonts w:ascii="Calibri" w:eastAsia="Calibri" w:hAnsi="Calibri"/>
      <w:sz w:val="22"/>
      <w:szCs w:val="22"/>
    </w:rPr>
  </w:style>
  <w:style w:type="character" w:styleId="CommentReference">
    <w:name w:val="annotation reference"/>
    <w:basedOn w:val="DefaultParagraphFont"/>
    <w:rsid w:val="00AE79BF"/>
    <w:rPr>
      <w:sz w:val="16"/>
      <w:szCs w:val="16"/>
    </w:rPr>
  </w:style>
  <w:style w:type="paragraph" w:styleId="CommentText">
    <w:name w:val="annotation text"/>
    <w:basedOn w:val="Normal"/>
    <w:link w:val="CommentTextChar"/>
    <w:rsid w:val="00AE79BF"/>
    <w:rPr>
      <w:sz w:val="20"/>
      <w:szCs w:val="20"/>
    </w:rPr>
  </w:style>
  <w:style w:type="character" w:customStyle="1" w:styleId="CommentTextChar">
    <w:name w:val="Comment Text Char"/>
    <w:basedOn w:val="DefaultParagraphFont"/>
    <w:link w:val="CommentText"/>
    <w:rsid w:val="00AE79BF"/>
  </w:style>
  <w:style w:type="paragraph" w:styleId="CommentSubject">
    <w:name w:val="annotation subject"/>
    <w:basedOn w:val="CommentText"/>
    <w:next w:val="CommentText"/>
    <w:link w:val="CommentSubjectChar"/>
    <w:rsid w:val="00AE79BF"/>
    <w:rPr>
      <w:b/>
      <w:bCs/>
    </w:rPr>
  </w:style>
  <w:style w:type="character" w:customStyle="1" w:styleId="CommentSubjectChar">
    <w:name w:val="Comment Subject Char"/>
    <w:basedOn w:val="CommentTextChar"/>
    <w:link w:val="CommentSubject"/>
    <w:rsid w:val="00AE79BF"/>
    <w:rPr>
      <w:b/>
      <w:bCs/>
    </w:rPr>
  </w:style>
  <w:style w:type="paragraph" w:customStyle="1" w:styleId="BayerBiomTabCourierNew">
    <w:name w:val="Bayer BiomTab Courier New"/>
    <w:rsid w:val="009F09E1"/>
    <w:pPr>
      <w:spacing w:line="120" w:lineRule="exact"/>
    </w:pPr>
    <w:rPr>
      <w:rFonts w:ascii="Courier New" w:eastAsia="MS Mincho" w:hAnsi="Courier New"/>
      <w:noProof/>
      <w:sz w:val="16"/>
      <w:lang w:val="de-DE" w:eastAsia="de-DE"/>
    </w:rPr>
  </w:style>
  <w:style w:type="character" w:customStyle="1" w:styleId="Heading4Char">
    <w:name w:val="Heading 4 Char"/>
    <w:basedOn w:val="DefaultParagraphFont"/>
    <w:link w:val="Heading4"/>
    <w:semiHidden/>
    <w:rsid w:val="00A831B2"/>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C1C2F"/>
  </w:style>
  <w:style w:type="paragraph" w:styleId="ListParagraph">
    <w:name w:val="List Paragraph"/>
    <w:basedOn w:val="Normal"/>
    <w:uiPriority w:val="99"/>
    <w:rsid w:val="005A676A"/>
    <w:pPr>
      <w:ind w:left="720"/>
      <w:contextualSpacing/>
    </w:pPr>
    <w:rPr>
      <w:rFonts w:ascii="Arial" w:hAnsi="Arial" w:cs="Arial"/>
    </w:rPr>
  </w:style>
  <w:style w:type="paragraph" w:styleId="BodyText">
    <w:name w:val="Body Text"/>
    <w:basedOn w:val="Normal"/>
    <w:link w:val="BodyTextChar"/>
    <w:rsid w:val="00725F44"/>
    <w:pPr>
      <w:spacing w:after="120"/>
    </w:pPr>
    <w:rPr>
      <w:rFonts w:ascii="Arial" w:hAnsi="Arial"/>
    </w:rPr>
  </w:style>
  <w:style w:type="character" w:customStyle="1" w:styleId="BodyTextChar">
    <w:name w:val="Body Text Char"/>
    <w:basedOn w:val="DefaultParagraphFont"/>
    <w:link w:val="BodyText"/>
    <w:rsid w:val="00725F44"/>
    <w:rPr>
      <w:rFonts w:ascii="Arial" w:hAnsi="Arial"/>
      <w:sz w:val="24"/>
      <w:szCs w:val="24"/>
    </w:rPr>
  </w:style>
  <w:style w:type="paragraph" w:styleId="PlainText">
    <w:name w:val="Plain Text"/>
    <w:basedOn w:val="Normal"/>
    <w:link w:val="PlainTextChar"/>
    <w:uiPriority w:val="99"/>
    <w:unhideWhenUsed/>
    <w:rsid w:val="00B72B2D"/>
    <w:rPr>
      <w:rFonts w:ascii="Consolas" w:eastAsia="Calibri" w:hAnsi="Consolas"/>
      <w:sz w:val="21"/>
      <w:szCs w:val="21"/>
    </w:rPr>
  </w:style>
  <w:style w:type="character" w:customStyle="1" w:styleId="PlainTextChar">
    <w:name w:val="Plain Text Char"/>
    <w:basedOn w:val="DefaultParagraphFont"/>
    <w:link w:val="PlainText"/>
    <w:uiPriority w:val="99"/>
    <w:rsid w:val="00B72B2D"/>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700232">
      <w:bodyDiv w:val="1"/>
      <w:marLeft w:val="0"/>
      <w:marRight w:val="0"/>
      <w:marTop w:val="0"/>
      <w:marBottom w:val="0"/>
      <w:divBdr>
        <w:top w:val="none" w:sz="0" w:space="0" w:color="auto"/>
        <w:left w:val="none" w:sz="0" w:space="0" w:color="auto"/>
        <w:bottom w:val="none" w:sz="0" w:space="0" w:color="auto"/>
        <w:right w:val="none" w:sz="0" w:space="0" w:color="auto"/>
      </w:divBdr>
    </w:div>
    <w:div w:id="141913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2DCDB-D0D5-4633-A0FE-7EB24C9DC960}">
  <ds:schemaRefs>
    <ds:schemaRef ds:uri="http://schemas.microsoft.com/sharepoint/v3/contenttype/forms"/>
  </ds:schemaRefs>
</ds:datastoreItem>
</file>

<file path=customXml/itemProps2.xml><?xml version="1.0" encoding="utf-8"?>
<ds:datastoreItem xmlns:ds="http://schemas.openxmlformats.org/officeDocument/2006/customXml" ds:itemID="{CCB17748-41FC-4384-96E7-DBE9C8D84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A9A931-6DA0-45C1-A1F2-1794692E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1235</Words>
  <Characters>7041</Characters>
  <Application>Microsoft Macintosh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Links>
    <vt:vector size="24" baseType="variant">
      <vt:variant>
        <vt:i4>8061055</vt:i4>
      </vt:variant>
      <vt:variant>
        <vt:i4>9</vt:i4>
      </vt:variant>
      <vt:variant>
        <vt:i4>0</vt:i4>
      </vt:variant>
      <vt:variant>
        <vt:i4>5</vt:i4>
      </vt:variant>
      <vt:variant>
        <vt:lpwstr>http://meddramsso.com/files_acrobat/SMQ_intguide_15_0_English_update.pdf</vt:lpwstr>
      </vt:variant>
      <vt:variant>
        <vt:lpwstr/>
      </vt:variant>
      <vt:variant>
        <vt:i4>4784253</vt:i4>
      </vt:variant>
      <vt:variant>
        <vt:i4>6</vt:i4>
      </vt:variant>
      <vt:variant>
        <vt:i4>0</vt:i4>
      </vt:variant>
      <vt:variant>
        <vt:i4>5</vt:i4>
      </vt:variant>
      <vt:variant>
        <vt:lpwstr>http://meddramsso.com/files_acrobat/intguide_15_0_English_update.pdf</vt:lpwstr>
      </vt:variant>
      <vt:variant>
        <vt:lpwstr/>
      </vt:variant>
      <vt:variant>
        <vt:i4>8061055</vt:i4>
      </vt:variant>
      <vt:variant>
        <vt:i4>3</vt:i4>
      </vt:variant>
      <vt:variant>
        <vt:i4>0</vt:i4>
      </vt:variant>
      <vt:variant>
        <vt:i4>5</vt:i4>
      </vt:variant>
      <vt:variant>
        <vt:lpwstr>http://meddramsso.com/files_acrobat/SMQ_intguide_14_1_English_update.pdf</vt:lpwstr>
      </vt:variant>
      <vt:variant>
        <vt:lpwstr/>
      </vt:variant>
      <vt:variant>
        <vt:i4>4784253</vt:i4>
      </vt:variant>
      <vt:variant>
        <vt:i4>0</vt:i4>
      </vt:variant>
      <vt:variant>
        <vt:i4>0</vt:i4>
      </vt:variant>
      <vt:variant>
        <vt:i4>5</vt:i4>
      </vt:variant>
      <vt:variant>
        <vt:lpwstr>http://meddramsso.com/files_acrobat/intguide_14_1_English_update.pdf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2014-07-25T12:25:00Z</dcterms:created>
  <dcterms:modified xsi:type="dcterms:W3CDTF">2014-08-14T19:56:00Z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